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C08" w14:textId="6DB18B73" w:rsidR="00B07508" w:rsidRPr="000B7249" w:rsidRDefault="00C8034B" w:rsidP="003431F4">
      <w:pPr>
        <w:jc w:val="center"/>
        <w:rPr>
          <w:lang w:val="en-IE" w:eastAsia="ja-JP"/>
        </w:rPr>
      </w:pPr>
      <w:r>
        <w:rPr>
          <w:noProof/>
        </w:rPr>
        <w:drawing>
          <wp:inline distT="0" distB="0" distL="0" distR="0" wp14:anchorId="4F3FBC2E" wp14:editId="5B22FEDC">
            <wp:extent cx="1988820" cy="448310"/>
            <wp:effectExtent l="0" t="0" r="0" b="8890"/>
            <wp:docPr id="1781255048" name="Picture 1"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55048" name="Picture 1" descr="A black and white sign with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8820" cy="448310"/>
                    </a:xfrm>
                    <a:prstGeom prst="rect">
                      <a:avLst/>
                    </a:prstGeom>
                    <a:noFill/>
                    <a:ln>
                      <a:noFill/>
                    </a:ln>
                  </pic:spPr>
                </pic:pic>
              </a:graphicData>
            </a:graphic>
          </wp:inline>
        </w:drawing>
      </w:r>
    </w:p>
    <w:p w14:paraId="4BC470BB" w14:textId="77777777" w:rsidR="002C4B84" w:rsidRDefault="00B07508" w:rsidP="00B11249">
      <w:pPr>
        <w:shd w:val="clear" w:color="auto" w:fill="3FBFB6"/>
        <w:rPr>
          <w:b/>
          <w:color w:val="FFFFFF" w:themeColor="background1"/>
          <w:sz w:val="36"/>
          <w:lang w:val="en-IE" w:eastAsia="ja-JP"/>
        </w:rPr>
      </w:pPr>
      <w:r w:rsidRPr="000B7249">
        <w:rPr>
          <w:b/>
          <w:color w:val="FFFFFF" w:themeColor="background1"/>
          <w:sz w:val="36"/>
          <w:lang w:val="en-IE" w:eastAsia="ja-JP"/>
        </w:rPr>
        <w:t>REQUEST FOR QUOTATION</w:t>
      </w:r>
    </w:p>
    <w:p w14:paraId="2A418F70" w14:textId="29E18552" w:rsidR="0057703F" w:rsidRPr="000B7249" w:rsidRDefault="0057703F" w:rsidP="00B11249">
      <w:pPr>
        <w:shd w:val="clear" w:color="auto" w:fill="3FBFB6"/>
        <w:rPr>
          <w:b/>
          <w:color w:val="FFFFFF" w:themeColor="background1"/>
          <w:sz w:val="28"/>
          <w:lang w:val="en-IE" w:eastAsia="ja-JP"/>
        </w:rPr>
      </w:pPr>
      <w:r w:rsidRPr="000B7249">
        <w:rPr>
          <w:b/>
          <w:color w:val="FFFFFF" w:themeColor="background1"/>
          <w:sz w:val="28"/>
          <w:lang w:val="en-IE" w:eastAsia="ja-JP"/>
        </w:rPr>
        <w:t>FOR AGGREGATE SPEND UPTO €</w:t>
      </w:r>
      <w:r w:rsidR="00BA068A">
        <w:rPr>
          <w:b/>
          <w:color w:val="FFFFFF" w:themeColor="background1"/>
          <w:sz w:val="28"/>
          <w:lang w:val="en-IE" w:eastAsia="ja-JP"/>
        </w:rPr>
        <w:t>50</w:t>
      </w:r>
      <w:r w:rsidRPr="000B7249">
        <w:rPr>
          <w:b/>
          <w:color w:val="FFFFFF" w:themeColor="background1"/>
          <w:sz w:val="28"/>
          <w:lang w:val="en-IE" w:eastAsia="ja-JP"/>
        </w:rPr>
        <w:t>,000 (Excl. VAT)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0B7249" w14:paraId="49043CF5" w14:textId="77777777" w:rsidTr="00FE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DB57D2E" w:rsidR="00B07508" w:rsidRPr="000B7249" w:rsidRDefault="00B07508" w:rsidP="00B11249">
            <w:pPr>
              <w:rPr>
                <w:rFonts w:eastAsiaTheme="minorEastAsia"/>
                <w:highlight w:val="yellow"/>
                <w:lang w:val="en-IE" w:eastAsia="ja-JP"/>
              </w:rPr>
            </w:pPr>
            <w:r w:rsidRPr="000B7249">
              <w:rPr>
                <w:rFonts w:eastAsiaTheme="minorEastAsia"/>
                <w:lang w:val="en-IE" w:eastAsia="ja-JP"/>
              </w:rPr>
              <w:t>Subject of Quotation</w:t>
            </w:r>
          </w:p>
        </w:tc>
      </w:tr>
      <w:tr w:rsidR="00B07508" w:rsidRPr="000B7249" w14:paraId="11446F99"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269E2059" w:rsidR="00B07508" w:rsidRPr="000B7249" w:rsidRDefault="0057703F" w:rsidP="00B11249">
            <w:pPr>
              <w:rPr>
                <w:rFonts w:eastAsiaTheme="minorEastAsia"/>
                <w:shd w:val="clear" w:color="auto" w:fill="BFBFBF"/>
                <w:lang w:val="en-IE" w:eastAsia="ja-JP"/>
              </w:rPr>
            </w:pPr>
            <w:bookmarkStart w:id="0" w:name="_Hlk214871176"/>
            <w:r w:rsidRPr="000B7249">
              <w:rPr>
                <w:rFonts w:eastAsiaTheme="minorEastAsia"/>
                <w:lang w:val="en-IE" w:eastAsia="ja-JP"/>
              </w:rPr>
              <w:t xml:space="preserve">Provision of </w:t>
            </w:r>
            <w:r w:rsidR="002C4B84" w:rsidRPr="000A4EAA">
              <w:rPr>
                <w:rFonts w:eastAsiaTheme="minorEastAsia"/>
                <w:color w:val="auto"/>
                <w:lang w:val="en-IE" w:eastAsia="ja-JP"/>
              </w:rPr>
              <w:t>M</w:t>
            </w:r>
            <w:r w:rsidR="006F2FFD" w:rsidRPr="000A4EAA">
              <w:rPr>
                <w:color w:val="auto"/>
                <w:lang w:val="en-IE"/>
              </w:rPr>
              <w:t>entoring</w:t>
            </w:r>
            <w:r w:rsidR="00EA44EA" w:rsidRPr="000A4EAA">
              <w:rPr>
                <w:color w:val="auto"/>
                <w:lang w:val="en-IE"/>
              </w:rPr>
              <w:t xml:space="preserve"> </w:t>
            </w:r>
            <w:r w:rsidR="000A4EAA" w:rsidRPr="000A4EAA">
              <w:rPr>
                <w:color w:val="auto"/>
                <w:lang w:val="en-IE"/>
              </w:rPr>
              <w:t>Services specific to Food and Beverage Producing Business</w:t>
            </w:r>
            <w:r w:rsidR="000A4EAA">
              <w:rPr>
                <w:color w:val="auto"/>
                <w:lang w:val="en-IE"/>
              </w:rPr>
              <w:t>es</w:t>
            </w:r>
            <w:r w:rsidR="006F2FFD" w:rsidRPr="000A4EAA">
              <w:rPr>
                <w:color w:val="auto"/>
                <w:lang w:val="en-IE"/>
              </w:rPr>
              <w:t xml:space="preserve"> for Kildare County Council’s Local Enterprise Office</w:t>
            </w:r>
            <w:bookmarkEnd w:id="0"/>
          </w:p>
        </w:tc>
      </w:tr>
      <w:tr w:rsidR="00B07508" w:rsidRPr="000B7249" w14:paraId="2FEDF8AB"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684B6852" w14:textId="77777777" w:rsidR="00B07508" w:rsidRPr="000B7249" w:rsidRDefault="00B07508" w:rsidP="00B11249">
            <w:pPr>
              <w:rPr>
                <w:rFonts w:eastAsiaTheme="minorEastAsia"/>
                <w:lang w:val="en-IE" w:eastAsia="ja-JP"/>
              </w:rPr>
            </w:pPr>
            <w:r w:rsidRPr="000B7249">
              <w:rPr>
                <w:rFonts w:eastAsiaTheme="minorEastAsia"/>
                <w:lang w:val="en-IE" w:eastAsia="ja-JP"/>
              </w:rPr>
              <w:t>Key Dates</w:t>
            </w:r>
          </w:p>
        </w:tc>
      </w:tr>
      <w:tr w:rsidR="0057703F" w:rsidRPr="000B7249" w14:paraId="257A2107" w14:textId="77777777" w:rsidTr="0079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77777777" w:rsidR="0057703F" w:rsidRPr="000B7249" w:rsidRDefault="0057703F" w:rsidP="00B11249">
            <w:pPr>
              <w:rPr>
                <w:rFonts w:eastAsiaTheme="minorEastAsia"/>
                <w:lang w:val="en-IE" w:eastAsia="ja-JP"/>
              </w:rPr>
            </w:pPr>
            <w:r w:rsidRPr="000B7249">
              <w:rPr>
                <w:rFonts w:eastAsiaTheme="minorEastAsia"/>
                <w:lang w:val="en-IE" w:eastAsia="ja-JP"/>
              </w:rPr>
              <w:t>Issue Date</w:t>
            </w:r>
          </w:p>
        </w:tc>
        <w:tc>
          <w:tcPr>
            <w:tcW w:w="5477" w:type="dxa"/>
            <w:shd w:val="clear" w:color="auto" w:fill="FFFFFF" w:themeFill="background1"/>
          </w:tcPr>
          <w:p w14:paraId="04936443" w14:textId="6668CCA4" w:rsidR="0057703F" w:rsidRPr="007969E0" w:rsidRDefault="007969E0" w:rsidP="00B11249">
            <w:pPr>
              <w:cnfStyle w:val="000000100000" w:firstRow="0" w:lastRow="0" w:firstColumn="0" w:lastColumn="0" w:oddVBand="0" w:evenVBand="0" w:oddHBand="1" w:evenHBand="0" w:firstRowFirstColumn="0" w:firstRowLastColumn="0" w:lastRowFirstColumn="0" w:lastRowLastColumn="0"/>
              <w:rPr>
                <w:rFonts w:eastAsiaTheme="minorEastAsia"/>
                <w:bCs/>
                <w:color w:val="auto"/>
                <w:lang w:val="en-IE" w:eastAsia="ja-JP"/>
              </w:rPr>
            </w:pPr>
            <w:proofErr w:type="gramStart"/>
            <w:r w:rsidRPr="007969E0">
              <w:rPr>
                <w:bCs/>
                <w:color w:val="auto"/>
                <w:lang w:val="en-IE"/>
              </w:rPr>
              <w:t>2</w:t>
            </w:r>
            <w:r w:rsidR="000A4EAA" w:rsidRPr="007969E0">
              <w:rPr>
                <w:bCs/>
                <w:color w:val="auto"/>
                <w:lang w:val="en-IE"/>
              </w:rPr>
              <w:t>1</w:t>
            </w:r>
            <w:r w:rsidR="006F2FFD" w:rsidRPr="007969E0">
              <w:rPr>
                <w:bCs/>
                <w:color w:val="auto"/>
                <w:vertAlign w:val="superscript"/>
                <w:lang w:val="en-IE"/>
              </w:rPr>
              <w:t>th</w:t>
            </w:r>
            <w:proofErr w:type="gramEnd"/>
            <w:r w:rsidR="006F2FFD" w:rsidRPr="007969E0">
              <w:rPr>
                <w:bCs/>
                <w:color w:val="auto"/>
                <w:lang w:val="en-IE"/>
              </w:rPr>
              <w:t xml:space="preserve"> November 2025</w:t>
            </w:r>
          </w:p>
        </w:tc>
      </w:tr>
      <w:tr w:rsidR="0057703F" w:rsidRPr="000B7249" w14:paraId="084175D9" w14:textId="77777777" w:rsidTr="007969E0">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951D658" w14:textId="77777777" w:rsidR="0057703F" w:rsidRPr="000B7249" w:rsidRDefault="0057703F" w:rsidP="00B11249">
            <w:pPr>
              <w:rPr>
                <w:rFonts w:eastAsiaTheme="minorEastAsia"/>
                <w:lang w:val="en-IE" w:eastAsia="ja-JP"/>
              </w:rPr>
            </w:pPr>
            <w:r w:rsidRPr="000B7249">
              <w:rPr>
                <w:rFonts w:eastAsiaTheme="minorEastAsia"/>
                <w:lang w:val="en-IE" w:eastAsia="ja-JP"/>
              </w:rPr>
              <w:t>Closing Date for Queries</w:t>
            </w:r>
          </w:p>
        </w:tc>
        <w:tc>
          <w:tcPr>
            <w:tcW w:w="5477" w:type="dxa"/>
            <w:shd w:val="clear" w:color="auto" w:fill="FFFFFF" w:themeFill="background1"/>
          </w:tcPr>
          <w:p w14:paraId="3398CEC7" w14:textId="75D70C96" w:rsidR="0057703F" w:rsidRPr="007969E0" w:rsidRDefault="007969E0" w:rsidP="00B11249">
            <w:pPr>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Pr>
                <w:color w:val="auto"/>
                <w:lang w:val="en-IE"/>
              </w:rPr>
              <w:t>23</w:t>
            </w:r>
            <w:r w:rsidRPr="007969E0">
              <w:rPr>
                <w:color w:val="auto"/>
                <w:vertAlign w:val="superscript"/>
                <w:lang w:val="en-IE"/>
              </w:rPr>
              <w:t>rd</w:t>
            </w:r>
            <w:r>
              <w:rPr>
                <w:color w:val="auto"/>
                <w:lang w:val="en-IE"/>
              </w:rPr>
              <w:t xml:space="preserve"> </w:t>
            </w:r>
            <w:r>
              <w:rPr>
                <w:color w:val="auto"/>
                <w:lang w:val="en-IE"/>
              </w:rPr>
              <w:t>January</w:t>
            </w:r>
            <w:r w:rsidRPr="007969E0">
              <w:rPr>
                <w:color w:val="auto"/>
                <w:lang w:val="en-IE"/>
              </w:rPr>
              <w:t xml:space="preserve"> 202</w:t>
            </w:r>
            <w:r>
              <w:rPr>
                <w:color w:val="auto"/>
                <w:lang w:val="en-IE"/>
              </w:rPr>
              <w:t>6</w:t>
            </w:r>
          </w:p>
        </w:tc>
      </w:tr>
      <w:tr w:rsidR="0057703F" w:rsidRPr="000B7249" w14:paraId="6A41F502" w14:textId="77777777" w:rsidTr="0079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252B93B" w14:textId="01C92148" w:rsidR="0057703F" w:rsidRPr="000B7249" w:rsidRDefault="0057703F" w:rsidP="00B11249">
            <w:pPr>
              <w:rPr>
                <w:rFonts w:eastAsiaTheme="minorEastAsia"/>
                <w:lang w:val="en-IE" w:eastAsia="ja-JP"/>
              </w:rPr>
            </w:pPr>
            <w:r w:rsidRPr="000B7249">
              <w:rPr>
                <w:rFonts w:eastAsiaTheme="minorEastAsia"/>
                <w:lang w:val="en-IE" w:eastAsia="ja-JP"/>
              </w:rPr>
              <w:t xml:space="preserve">Closing Date for </w:t>
            </w:r>
            <w:r w:rsidR="000111EF" w:rsidRPr="000B7249">
              <w:rPr>
                <w:rFonts w:eastAsiaTheme="minorEastAsia"/>
                <w:lang w:val="en-IE" w:eastAsia="ja-JP"/>
              </w:rPr>
              <w:t>Quotations</w:t>
            </w:r>
          </w:p>
        </w:tc>
        <w:tc>
          <w:tcPr>
            <w:tcW w:w="5477" w:type="dxa"/>
            <w:shd w:val="clear" w:color="auto" w:fill="FFFFFF" w:themeFill="background1"/>
          </w:tcPr>
          <w:p w14:paraId="4A98FD80" w14:textId="18431C63" w:rsidR="0057703F" w:rsidRPr="007969E0" w:rsidRDefault="007969E0" w:rsidP="00B11249">
            <w:pPr>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Pr>
                <w:color w:val="auto"/>
                <w:lang w:val="en-IE"/>
              </w:rPr>
              <w:t>30</w:t>
            </w:r>
            <w:r w:rsidR="006F2FFD" w:rsidRPr="007969E0">
              <w:rPr>
                <w:color w:val="auto"/>
                <w:vertAlign w:val="superscript"/>
                <w:lang w:val="en-IE"/>
              </w:rPr>
              <w:t>th</w:t>
            </w:r>
            <w:r w:rsidR="006F2FFD" w:rsidRPr="007969E0">
              <w:rPr>
                <w:color w:val="auto"/>
                <w:lang w:val="en-IE"/>
              </w:rPr>
              <w:t xml:space="preserve"> </w:t>
            </w:r>
            <w:r>
              <w:rPr>
                <w:color w:val="auto"/>
                <w:lang w:val="en-IE"/>
              </w:rPr>
              <w:t>January</w:t>
            </w:r>
            <w:r w:rsidR="006F2FFD" w:rsidRPr="007969E0">
              <w:rPr>
                <w:color w:val="auto"/>
                <w:lang w:val="en-IE"/>
              </w:rPr>
              <w:t xml:space="preserve"> 202</w:t>
            </w:r>
            <w:r>
              <w:rPr>
                <w:color w:val="auto"/>
                <w:lang w:val="en-IE"/>
              </w:rPr>
              <w:t>6</w:t>
            </w:r>
          </w:p>
        </w:tc>
      </w:tr>
      <w:tr w:rsidR="00051079" w:rsidRPr="000B7249" w14:paraId="04A0647A" w14:textId="77777777" w:rsidTr="00FE26CD">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3A36A74" w14:textId="36B8F38D" w:rsidR="00051079" w:rsidRPr="000B7249" w:rsidRDefault="00051079" w:rsidP="00B11249">
            <w:pPr>
              <w:rPr>
                <w:rFonts w:eastAsiaTheme="minorEastAsia"/>
                <w:lang w:val="en-IE" w:eastAsia="ja-JP"/>
              </w:rPr>
            </w:pPr>
            <w:r w:rsidRPr="000B7249">
              <w:rPr>
                <w:rFonts w:eastAsiaTheme="minorEastAsia"/>
                <w:lang w:val="en-IE" w:eastAsia="ja-JP"/>
              </w:rPr>
              <w:t>Contact for Queries</w:t>
            </w:r>
          </w:p>
        </w:tc>
        <w:tc>
          <w:tcPr>
            <w:tcW w:w="5477" w:type="dxa"/>
          </w:tcPr>
          <w:p w14:paraId="2F37A421" w14:textId="75860D65" w:rsidR="00051079" w:rsidRPr="007969E0" w:rsidRDefault="00051079" w:rsidP="00B11249">
            <w:pPr>
              <w:cnfStyle w:val="000000000000" w:firstRow="0" w:lastRow="0" w:firstColumn="0" w:lastColumn="0" w:oddVBand="0" w:evenVBand="0" w:oddHBand="0" w:evenHBand="0" w:firstRowFirstColumn="0" w:firstRowLastColumn="0" w:lastRowFirstColumn="0" w:lastRowLastColumn="0"/>
              <w:rPr>
                <w:color w:val="FF0000"/>
                <w:highlight w:val="lightGray"/>
                <w:lang w:val="en-IE"/>
              </w:rPr>
            </w:pPr>
            <w:hyperlink r:id="rId12" w:history="1">
              <w:r w:rsidRPr="007969E0">
                <w:rPr>
                  <w:rStyle w:val="Hyperlink"/>
                  <w:rFonts w:eastAsiaTheme="minorEastAsia" w:cs="Arial"/>
                  <w:color w:val="auto"/>
                  <w:u w:val="none"/>
                  <w:lang w:val="en-IE" w:eastAsia="ja-JP"/>
                </w:rPr>
                <w:t>localenterprise@kildarecoco.ie</w:t>
              </w:r>
            </w:hyperlink>
            <w:r w:rsidRPr="007969E0">
              <w:rPr>
                <w:rFonts w:eastAsiaTheme="minorEastAsia"/>
                <w:color w:val="auto"/>
                <w:lang w:val="en-IE" w:eastAsia="ja-JP"/>
              </w:rPr>
              <w:t xml:space="preserve">  </w:t>
            </w:r>
          </w:p>
        </w:tc>
      </w:tr>
      <w:tr w:rsidR="0057703F" w:rsidRPr="000B7249" w14:paraId="2F162D8F"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2817AB5F" w14:textId="1F5D6213" w:rsidR="0057703F" w:rsidRPr="000B7249" w:rsidRDefault="0057703F" w:rsidP="00B11249">
            <w:pPr>
              <w:rPr>
                <w:rFonts w:eastAsiaTheme="minorEastAsia"/>
                <w:lang w:val="en-IE" w:eastAsia="ja-JP"/>
              </w:rPr>
            </w:pPr>
            <w:r w:rsidRPr="000B7249">
              <w:rPr>
                <w:rFonts w:eastAsiaTheme="minorEastAsia"/>
                <w:lang w:val="en-IE" w:eastAsia="ja-JP"/>
              </w:rPr>
              <w:t>Format for submission of quotations</w:t>
            </w:r>
            <w:r w:rsidR="007E6D3E" w:rsidRPr="000B7249">
              <w:rPr>
                <w:rFonts w:eastAsiaTheme="minorEastAsia"/>
                <w:lang w:val="en-IE" w:eastAsia="ja-JP"/>
              </w:rPr>
              <w:t xml:space="preserve"> – use the </w:t>
            </w:r>
            <w:r w:rsidR="007E6D3E" w:rsidRPr="000B7249">
              <w:rPr>
                <w:rFonts w:eastAsiaTheme="minorEastAsia"/>
                <w:u w:val="single"/>
                <w:lang w:val="en-IE" w:eastAsia="ja-JP"/>
              </w:rPr>
              <w:t>Quotation Response Document</w:t>
            </w:r>
            <w:r w:rsidR="007E6D3E" w:rsidRPr="000B7249">
              <w:rPr>
                <w:rFonts w:eastAsiaTheme="minorEastAsia"/>
                <w:lang w:val="en-IE" w:eastAsia="ja-JP"/>
              </w:rPr>
              <w:t xml:space="preserve"> provided</w:t>
            </w:r>
          </w:p>
        </w:tc>
      </w:tr>
      <w:tr w:rsidR="00496AF6" w:rsidRPr="000B7249" w14:paraId="1609E102"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7974EF36" w14:textId="2E091D60" w:rsidR="00496AF6" w:rsidRPr="00287CF3" w:rsidRDefault="000F04AE" w:rsidP="00B11249">
            <w:pPr>
              <w:spacing w:before="120" w:after="120"/>
              <w:rPr>
                <w:rFonts w:eastAsiaTheme="minorEastAsia"/>
                <w:b w:val="0"/>
                <w:bCs w:val="0"/>
                <w:color w:val="FF0000"/>
                <w:lang w:val="en-IE" w:eastAsia="ja-JP"/>
              </w:rPr>
            </w:pPr>
            <w:hyperlink r:id="rId13" w:history="1">
              <w:r w:rsidRPr="00287CF3">
                <w:rPr>
                  <w:rStyle w:val="Hyperlink"/>
                  <w:rFonts w:eastAsiaTheme="minorEastAsia" w:cs="Arial"/>
                  <w:b w:val="0"/>
                  <w:bCs w:val="0"/>
                  <w:color w:val="auto"/>
                  <w:lang w:val="en-IE" w:eastAsia="ja-JP"/>
                </w:rPr>
                <w:t>localenterprise@kildarecoco.ie</w:t>
              </w:r>
            </w:hyperlink>
            <w:r w:rsidRPr="00287CF3">
              <w:rPr>
                <w:rFonts w:eastAsiaTheme="minorEastAsia"/>
                <w:b w:val="0"/>
                <w:bCs w:val="0"/>
                <w:color w:val="auto"/>
                <w:lang w:val="en-IE" w:eastAsia="ja-JP"/>
              </w:rPr>
              <w:t xml:space="preserve"> </w:t>
            </w:r>
          </w:p>
        </w:tc>
      </w:tr>
    </w:tbl>
    <w:p w14:paraId="60B02C7D" w14:textId="551D075C" w:rsidR="008079B6" w:rsidRPr="00DD11DC" w:rsidRDefault="008079B6" w:rsidP="00B11249">
      <w:pPr>
        <w:spacing w:before="0" w:after="0" w:line="240" w:lineRule="auto"/>
        <w:rPr>
          <w:rFonts w:eastAsia="Times New Roman"/>
          <w:b/>
          <w:bCs/>
          <w:color w:val="FF0000"/>
          <w:sz w:val="28"/>
          <w:szCs w:val="28"/>
          <w:lang w:val="en-IE"/>
        </w:rPr>
      </w:pPr>
    </w:p>
    <w:p w14:paraId="54C902BD" w14:textId="412D9FE1" w:rsidR="70CB0368" w:rsidRDefault="70CB0368" w:rsidP="70CB0368">
      <w:pPr>
        <w:spacing w:before="0" w:after="0" w:line="240" w:lineRule="auto"/>
        <w:rPr>
          <w:rFonts w:eastAsia="Times New Roman"/>
          <w:color w:val="FF0000"/>
          <w:highlight w:val="lightGray"/>
          <w:lang w:val="en-IE"/>
        </w:rPr>
      </w:pPr>
    </w:p>
    <w:p w14:paraId="7C11C446" w14:textId="482662CF" w:rsidR="008079B6" w:rsidRPr="000B7249" w:rsidRDefault="00A718E2" w:rsidP="00B11249">
      <w:pPr>
        <w:shd w:val="clear" w:color="auto" w:fill="3FBFB6"/>
        <w:spacing w:before="0" w:after="0" w:line="240" w:lineRule="auto"/>
        <w:rPr>
          <w:rFonts w:eastAsia="Times New Roman"/>
          <w:b/>
          <w:bCs/>
          <w:color w:val="FFFFFF" w:themeColor="background1"/>
          <w:sz w:val="28"/>
          <w:szCs w:val="28"/>
          <w:lang w:val="en-IE"/>
        </w:rPr>
      </w:pPr>
      <w:r w:rsidRPr="000B7249">
        <w:rPr>
          <w:rFonts w:eastAsia="Times New Roman"/>
          <w:b/>
          <w:bCs/>
          <w:color w:val="FFFFFF" w:themeColor="background1"/>
          <w:sz w:val="28"/>
          <w:szCs w:val="28"/>
          <w:lang w:val="en-IE"/>
        </w:rPr>
        <w:t>CONTENTS</w:t>
      </w:r>
    </w:p>
    <w:p w14:paraId="6DD6140D" w14:textId="5E152625" w:rsidR="008B0106" w:rsidRDefault="00B34DD2" w:rsidP="00B11249">
      <w:pPr>
        <w:pStyle w:val="TOC1"/>
        <w:tabs>
          <w:tab w:val="left" w:pos="1134"/>
          <w:tab w:val="right" w:leader="dot" w:pos="9016"/>
        </w:tabs>
        <w:rPr>
          <w:rFonts w:asciiTheme="minorHAnsi" w:eastAsiaTheme="minorEastAsia" w:hAnsiTheme="minorHAnsi" w:cstheme="minorBidi"/>
          <w:noProof/>
          <w:color w:val="auto"/>
          <w:lang w:val="en-IE" w:eastAsia="en-IE"/>
        </w:rPr>
      </w:pPr>
      <w:r w:rsidRPr="000B7249">
        <w:rPr>
          <w:lang w:val="en-IE"/>
        </w:rPr>
        <w:fldChar w:fldCharType="begin"/>
      </w:r>
      <w:r w:rsidRPr="000B7249">
        <w:rPr>
          <w:lang w:val="en-IE"/>
        </w:rPr>
        <w:instrText xml:space="preserve"> TOC \o "1-3" \h \z \u </w:instrText>
      </w:r>
      <w:r w:rsidRPr="000B7249">
        <w:rPr>
          <w:lang w:val="en-IE"/>
        </w:rPr>
        <w:fldChar w:fldCharType="separate"/>
      </w:r>
      <w:hyperlink w:anchor="_Toc72957310" w:history="1">
        <w:r w:rsidR="008B0106" w:rsidRPr="00820E15">
          <w:rPr>
            <w:rStyle w:val="Hyperlink"/>
            <w:noProof/>
          </w:rPr>
          <w:t>1</w:t>
        </w:r>
        <w:r w:rsidR="008B0106">
          <w:rPr>
            <w:rFonts w:asciiTheme="minorHAnsi" w:eastAsiaTheme="minorEastAsia" w:hAnsiTheme="minorHAnsi" w:cstheme="minorBidi"/>
            <w:noProof/>
            <w:color w:val="auto"/>
            <w:lang w:val="en-IE" w:eastAsia="en-IE"/>
          </w:rPr>
          <w:tab/>
        </w:r>
        <w:r w:rsidR="008B0106" w:rsidRPr="00820E15">
          <w:rPr>
            <w:rStyle w:val="Hyperlink"/>
            <w:noProof/>
          </w:rPr>
          <w:t>ABOUT THE CONTRACTING AUTHORITY</w:t>
        </w:r>
        <w:r w:rsidR="008B0106">
          <w:rPr>
            <w:noProof/>
            <w:webHidden/>
          </w:rPr>
          <w:tab/>
        </w:r>
        <w:r w:rsidR="008B0106">
          <w:rPr>
            <w:noProof/>
            <w:webHidden/>
          </w:rPr>
          <w:fldChar w:fldCharType="begin"/>
        </w:r>
        <w:r w:rsidR="008B0106">
          <w:rPr>
            <w:noProof/>
            <w:webHidden/>
          </w:rPr>
          <w:instrText xml:space="preserve"> PAGEREF _Toc72957310 \h </w:instrText>
        </w:r>
        <w:r w:rsidR="008B0106">
          <w:rPr>
            <w:noProof/>
            <w:webHidden/>
          </w:rPr>
        </w:r>
        <w:r w:rsidR="008B0106">
          <w:rPr>
            <w:noProof/>
            <w:webHidden/>
          </w:rPr>
          <w:fldChar w:fldCharType="separate"/>
        </w:r>
        <w:r w:rsidR="00CE6918">
          <w:rPr>
            <w:noProof/>
            <w:webHidden/>
          </w:rPr>
          <w:t>2</w:t>
        </w:r>
        <w:r w:rsidR="008B0106">
          <w:rPr>
            <w:noProof/>
            <w:webHidden/>
          </w:rPr>
          <w:fldChar w:fldCharType="end"/>
        </w:r>
      </w:hyperlink>
    </w:p>
    <w:p w14:paraId="6909E300" w14:textId="71433C9C" w:rsidR="008B0106" w:rsidRDefault="008B0106" w:rsidP="00B11249">
      <w:pPr>
        <w:pStyle w:val="TOC1"/>
        <w:tabs>
          <w:tab w:val="left" w:pos="1134"/>
          <w:tab w:val="right" w:leader="dot" w:pos="9016"/>
        </w:tabs>
        <w:rPr>
          <w:rFonts w:asciiTheme="minorHAnsi" w:eastAsiaTheme="minorEastAsia" w:hAnsiTheme="minorHAnsi" w:cstheme="minorBidi"/>
          <w:noProof/>
          <w:color w:val="auto"/>
          <w:lang w:val="en-IE" w:eastAsia="en-IE"/>
        </w:rPr>
      </w:pPr>
      <w:hyperlink w:anchor="_Toc72957313" w:history="1">
        <w:r w:rsidRPr="00820E15">
          <w:rPr>
            <w:rStyle w:val="Hyperlink"/>
            <w:noProof/>
          </w:rPr>
          <w:t>2.</w:t>
        </w:r>
        <w:r>
          <w:rPr>
            <w:rFonts w:asciiTheme="minorHAnsi" w:eastAsiaTheme="minorEastAsia" w:hAnsiTheme="minorHAnsi" w:cstheme="minorBidi"/>
            <w:noProof/>
            <w:color w:val="auto"/>
            <w:lang w:val="en-IE" w:eastAsia="en-IE"/>
          </w:rPr>
          <w:tab/>
        </w:r>
        <w:r w:rsidRPr="00820E15">
          <w:rPr>
            <w:rStyle w:val="Hyperlink"/>
            <w:noProof/>
          </w:rPr>
          <w:t>SCOPE OF REQUIREMENT</w:t>
        </w:r>
        <w:r>
          <w:rPr>
            <w:noProof/>
            <w:webHidden/>
          </w:rPr>
          <w:tab/>
        </w:r>
        <w:r>
          <w:rPr>
            <w:noProof/>
            <w:webHidden/>
          </w:rPr>
          <w:fldChar w:fldCharType="begin"/>
        </w:r>
        <w:r>
          <w:rPr>
            <w:noProof/>
            <w:webHidden/>
          </w:rPr>
          <w:instrText xml:space="preserve"> PAGEREF _Toc72957313 \h </w:instrText>
        </w:r>
        <w:r>
          <w:rPr>
            <w:noProof/>
            <w:webHidden/>
          </w:rPr>
        </w:r>
        <w:r>
          <w:rPr>
            <w:noProof/>
            <w:webHidden/>
          </w:rPr>
          <w:fldChar w:fldCharType="separate"/>
        </w:r>
        <w:r w:rsidR="00CE6918">
          <w:rPr>
            <w:noProof/>
            <w:webHidden/>
          </w:rPr>
          <w:t>2</w:t>
        </w:r>
        <w:r>
          <w:rPr>
            <w:noProof/>
            <w:webHidden/>
          </w:rPr>
          <w:fldChar w:fldCharType="end"/>
        </w:r>
      </w:hyperlink>
    </w:p>
    <w:p w14:paraId="30516F6B" w14:textId="31723DF8" w:rsidR="008B0106" w:rsidRDefault="008B0106" w:rsidP="00B11249">
      <w:pPr>
        <w:pStyle w:val="TOC1"/>
        <w:tabs>
          <w:tab w:val="left" w:pos="1134"/>
          <w:tab w:val="right" w:leader="dot" w:pos="9016"/>
        </w:tabs>
        <w:rPr>
          <w:rFonts w:asciiTheme="minorHAnsi" w:eastAsiaTheme="minorEastAsia" w:hAnsiTheme="minorHAnsi" w:cstheme="minorBidi"/>
          <w:noProof/>
          <w:color w:val="auto"/>
          <w:lang w:val="en-IE" w:eastAsia="en-IE"/>
        </w:rPr>
      </w:pPr>
      <w:hyperlink w:anchor="_Toc72957324" w:history="1">
        <w:r w:rsidRPr="00820E15">
          <w:rPr>
            <w:rStyle w:val="Hyperlink"/>
            <w:noProof/>
          </w:rPr>
          <w:t>3.</w:t>
        </w:r>
        <w:r>
          <w:rPr>
            <w:rFonts w:asciiTheme="minorHAnsi" w:eastAsiaTheme="minorEastAsia" w:hAnsiTheme="minorHAnsi" w:cstheme="minorBidi"/>
            <w:noProof/>
            <w:color w:val="auto"/>
            <w:lang w:val="en-IE" w:eastAsia="en-IE"/>
          </w:rPr>
          <w:tab/>
        </w:r>
        <w:r w:rsidRPr="00820E15">
          <w:rPr>
            <w:rStyle w:val="Hyperlink"/>
            <w:noProof/>
          </w:rPr>
          <w:t>EVALUATION CRITERIA</w:t>
        </w:r>
        <w:r>
          <w:rPr>
            <w:noProof/>
            <w:webHidden/>
          </w:rPr>
          <w:tab/>
        </w:r>
        <w:r>
          <w:rPr>
            <w:noProof/>
            <w:webHidden/>
          </w:rPr>
          <w:fldChar w:fldCharType="begin"/>
        </w:r>
        <w:r>
          <w:rPr>
            <w:noProof/>
            <w:webHidden/>
          </w:rPr>
          <w:instrText xml:space="preserve"> PAGEREF _Toc72957324 \h </w:instrText>
        </w:r>
        <w:r>
          <w:rPr>
            <w:noProof/>
            <w:webHidden/>
          </w:rPr>
        </w:r>
        <w:r>
          <w:rPr>
            <w:noProof/>
            <w:webHidden/>
          </w:rPr>
          <w:fldChar w:fldCharType="separate"/>
        </w:r>
        <w:r w:rsidR="00CE6918">
          <w:rPr>
            <w:noProof/>
            <w:webHidden/>
          </w:rPr>
          <w:t>4</w:t>
        </w:r>
        <w:r>
          <w:rPr>
            <w:noProof/>
            <w:webHidden/>
          </w:rPr>
          <w:fldChar w:fldCharType="end"/>
        </w:r>
      </w:hyperlink>
    </w:p>
    <w:p w14:paraId="1325EC23" w14:textId="1301DB99" w:rsidR="008B0106" w:rsidRDefault="008B0106" w:rsidP="00B11249">
      <w:pPr>
        <w:pStyle w:val="TOC1"/>
        <w:tabs>
          <w:tab w:val="left" w:pos="1134"/>
          <w:tab w:val="right" w:leader="dot" w:pos="9016"/>
        </w:tabs>
        <w:rPr>
          <w:rFonts w:asciiTheme="minorHAnsi" w:eastAsiaTheme="minorEastAsia" w:hAnsiTheme="minorHAnsi" w:cstheme="minorBidi"/>
          <w:noProof/>
          <w:color w:val="auto"/>
          <w:lang w:val="en-IE" w:eastAsia="en-IE"/>
        </w:rPr>
      </w:pPr>
      <w:hyperlink w:anchor="_Toc72957330" w:history="1">
        <w:r w:rsidRPr="00820E15">
          <w:rPr>
            <w:rStyle w:val="Hyperlink"/>
            <w:noProof/>
          </w:rPr>
          <w:t>4.</w:t>
        </w:r>
        <w:r>
          <w:rPr>
            <w:rFonts w:asciiTheme="minorHAnsi" w:eastAsiaTheme="minorEastAsia" w:hAnsiTheme="minorHAnsi" w:cstheme="minorBidi"/>
            <w:noProof/>
            <w:color w:val="auto"/>
            <w:lang w:val="en-IE" w:eastAsia="en-IE"/>
          </w:rPr>
          <w:tab/>
        </w:r>
        <w:r w:rsidRPr="00820E15">
          <w:rPr>
            <w:rStyle w:val="Hyperlink"/>
            <w:noProof/>
          </w:rPr>
          <w:t>FORMAT OF RESPONSE</w:t>
        </w:r>
        <w:r>
          <w:rPr>
            <w:noProof/>
            <w:webHidden/>
          </w:rPr>
          <w:tab/>
        </w:r>
        <w:r>
          <w:rPr>
            <w:noProof/>
            <w:webHidden/>
          </w:rPr>
          <w:fldChar w:fldCharType="begin"/>
        </w:r>
        <w:r>
          <w:rPr>
            <w:noProof/>
            <w:webHidden/>
          </w:rPr>
          <w:instrText xml:space="preserve"> PAGEREF _Toc72957330 \h </w:instrText>
        </w:r>
        <w:r>
          <w:rPr>
            <w:noProof/>
            <w:webHidden/>
          </w:rPr>
        </w:r>
        <w:r>
          <w:rPr>
            <w:noProof/>
            <w:webHidden/>
          </w:rPr>
          <w:fldChar w:fldCharType="separate"/>
        </w:r>
        <w:r w:rsidR="00CE6918">
          <w:rPr>
            <w:noProof/>
            <w:webHidden/>
          </w:rPr>
          <w:t>6</w:t>
        </w:r>
        <w:r>
          <w:rPr>
            <w:noProof/>
            <w:webHidden/>
          </w:rPr>
          <w:fldChar w:fldCharType="end"/>
        </w:r>
      </w:hyperlink>
    </w:p>
    <w:p w14:paraId="30E0B0E4" w14:textId="71F356A5" w:rsidR="008B0106" w:rsidRDefault="008B0106" w:rsidP="00B11249">
      <w:pPr>
        <w:pStyle w:val="TOC1"/>
        <w:tabs>
          <w:tab w:val="left" w:pos="1134"/>
          <w:tab w:val="right" w:leader="dot" w:pos="9016"/>
        </w:tabs>
        <w:rPr>
          <w:rFonts w:asciiTheme="minorHAnsi" w:eastAsiaTheme="minorEastAsia" w:hAnsiTheme="minorHAnsi" w:cstheme="minorBidi"/>
          <w:noProof/>
          <w:color w:val="auto"/>
          <w:lang w:val="en-IE" w:eastAsia="en-IE"/>
        </w:rPr>
      </w:pPr>
      <w:hyperlink w:anchor="_Toc72957331" w:history="1">
        <w:r w:rsidRPr="00820E15">
          <w:rPr>
            <w:rStyle w:val="Hyperlink"/>
            <w:noProof/>
          </w:rPr>
          <w:t>5.</w:t>
        </w:r>
        <w:r>
          <w:rPr>
            <w:rFonts w:asciiTheme="minorHAnsi" w:eastAsiaTheme="minorEastAsia" w:hAnsiTheme="minorHAnsi" w:cstheme="minorBidi"/>
            <w:noProof/>
            <w:color w:val="auto"/>
            <w:lang w:val="en-IE" w:eastAsia="en-IE"/>
          </w:rPr>
          <w:tab/>
        </w:r>
        <w:r w:rsidRPr="00820E15">
          <w:rPr>
            <w:rStyle w:val="Hyperlink"/>
            <w:noProof/>
          </w:rPr>
          <w:t>INSTRUCTIONS FOR ECONOMIC OPERATORS QUOTING</w:t>
        </w:r>
        <w:r>
          <w:rPr>
            <w:noProof/>
            <w:webHidden/>
          </w:rPr>
          <w:tab/>
        </w:r>
        <w:r>
          <w:rPr>
            <w:noProof/>
            <w:webHidden/>
          </w:rPr>
          <w:fldChar w:fldCharType="begin"/>
        </w:r>
        <w:r>
          <w:rPr>
            <w:noProof/>
            <w:webHidden/>
          </w:rPr>
          <w:instrText xml:space="preserve"> PAGEREF _Toc72957331 \h </w:instrText>
        </w:r>
        <w:r>
          <w:rPr>
            <w:noProof/>
            <w:webHidden/>
          </w:rPr>
        </w:r>
        <w:r>
          <w:rPr>
            <w:noProof/>
            <w:webHidden/>
          </w:rPr>
          <w:fldChar w:fldCharType="separate"/>
        </w:r>
        <w:r w:rsidR="00CE6918">
          <w:rPr>
            <w:noProof/>
            <w:webHidden/>
          </w:rPr>
          <w:t>6</w:t>
        </w:r>
        <w:r>
          <w:rPr>
            <w:noProof/>
            <w:webHidden/>
          </w:rPr>
          <w:fldChar w:fldCharType="end"/>
        </w:r>
      </w:hyperlink>
    </w:p>
    <w:p w14:paraId="04068F03" w14:textId="69935152" w:rsidR="002C4B84" w:rsidRPr="000B7249" w:rsidRDefault="00B34DD2" w:rsidP="002C4B84">
      <w:pPr>
        <w:spacing w:before="120" w:after="0" w:line="240" w:lineRule="auto"/>
        <w:rPr>
          <w:lang w:val="en-IE"/>
        </w:rPr>
      </w:pPr>
      <w:r w:rsidRPr="000B7249">
        <w:rPr>
          <w:lang w:val="en-IE"/>
        </w:rPr>
        <w:lastRenderedPageBreak/>
        <w:fldChar w:fldCharType="end"/>
      </w:r>
    </w:p>
    <w:p w14:paraId="0212D5CA" w14:textId="792A7F7C" w:rsidR="00646158" w:rsidRPr="002D715F" w:rsidRDefault="00646158" w:rsidP="00B11249">
      <w:pPr>
        <w:pStyle w:val="Heading1"/>
      </w:pPr>
      <w:r w:rsidRPr="002D715F">
        <w:tab/>
      </w:r>
      <w:bookmarkStart w:id="1" w:name="_Toc72957310"/>
      <w:r w:rsidRPr="002D715F">
        <w:t>ABOUT THE CONTRACTING AUTHORITY</w:t>
      </w:r>
      <w:bookmarkEnd w:id="1"/>
    </w:p>
    <w:p w14:paraId="5D7F2463" w14:textId="1F3E6FD7" w:rsidR="0057703F" w:rsidRPr="00724EEF" w:rsidRDefault="0057703F" w:rsidP="00B11249">
      <w:pPr>
        <w:pStyle w:val="Heading2"/>
        <w:jc w:val="both"/>
      </w:pPr>
      <w:bookmarkStart w:id="2" w:name="_Toc490417749"/>
      <w:bookmarkStart w:id="3" w:name="_Toc72957311"/>
      <w:r w:rsidRPr="00724EEF">
        <w:t>The Contracting Authority</w:t>
      </w:r>
      <w:bookmarkEnd w:id="2"/>
      <w:bookmarkEnd w:id="3"/>
    </w:p>
    <w:p w14:paraId="71A3D449" w14:textId="694E3DF5" w:rsidR="0057703F" w:rsidRPr="000B7249" w:rsidRDefault="000F04AE" w:rsidP="00B11249">
      <w:pPr>
        <w:spacing w:before="0"/>
        <w:rPr>
          <w:lang w:val="en-IE"/>
        </w:rPr>
      </w:pPr>
      <w:r w:rsidRPr="00287CF3">
        <w:rPr>
          <w:color w:val="auto"/>
          <w:lang w:val="en-IE"/>
        </w:rPr>
        <w:t xml:space="preserve">Kildare County Council, </w:t>
      </w:r>
      <w:r w:rsidR="0057703F" w:rsidRPr="000B7249">
        <w:rPr>
          <w:lang w:val="en-IE"/>
        </w:rPr>
        <w:t xml:space="preserve">herein after referred to as the Contracting Authority, is the authority responsible for this procurement. </w:t>
      </w:r>
    </w:p>
    <w:p w14:paraId="3513EB0F" w14:textId="385AFC7D" w:rsidR="0057703F" w:rsidRPr="000B7249" w:rsidRDefault="0057703F" w:rsidP="00B11249">
      <w:pPr>
        <w:spacing w:before="0"/>
        <w:rPr>
          <w:color w:val="C00000"/>
          <w:lang w:val="en-IE"/>
        </w:rPr>
      </w:pPr>
      <w:r w:rsidRPr="000B7249">
        <w:rPr>
          <w:lang w:val="en-IE"/>
        </w:rPr>
        <w:t xml:space="preserve">Further information is available at our corporate website </w:t>
      </w:r>
      <w:hyperlink r:id="rId14" w:history="1">
        <w:r w:rsidR="000F04AE" w:rsidRPr="00D76E1F">
          <w:rPr>
            <w:rStyle w:val="Hyperlink"/>
            <w:rFonts w:cs="Arial"/>
            <w:lang w:val="en-IE"/>
          </w:rPr>
          <w:t>www.localenterprise.ie/kildare</w:t>
        </w:r>
      </w:hyperlink>
      <w:r w:rsidRPr="000B7249">
        <w:rPr>
          <w:color w:val="FF0000"/>
          <w:lang w:val="en-IE"/>
        </w:rPr>
        <w:t xml:space="preserve"> </w:t>
      </w:r>
    </w:p>
    <w:p w14:paraId="582D5FB6" w14:textId="04285AE4" w:rsidR="0057703F" w:rsidRPr="000B7249" w:rsidRDefault="0057703F" w:rsidP="00B11249">
      <w:pPr>
        <w:pStyle w:val="Heading2"/>
        <w:jc w:val="both"/>
      </w:pPr>
      <w:bookmarkStart w:id="4" w:name="_Toc490402517"/>
      <w:bookmarkStart w:id="5" w:name="_Toc490417750"/>
      <w:bookmarkStart w:id="6" w:name="_Toc72957312"/>
      <w:r w:rsidRPr="000B7249">
        <w:t>Small and Medium Enterprise Participation</w:t>
      </w:r>
      <w:bookmarkEnd w:id="4"/>
      <w:bookmarkEnd w:id="5"/>
      <w:bookmarkEnd w:id="6"/>
    </w:p>
    <w:p w14:paraId="5FBDAAF9" w14:textId="74395C57" w:rsidR="0057703F" w:rsidRPr="000B7249" w:rsidRDefault="0057703F" w:rsidP="00B11249">
      <w:pPr>
        <w:spacing w:before="0"/>
        <w:rPr>
          <w:lang w:val="en-IE"/>
        </w:rPr>
      </w:pPr>
      <w:r w:rsidRPr="000B7249">
        <w:rPr>
          <w:lang w:val="en-IE"/>
        </w:rPr>
        <w:t xml:space="preserve">It is the policy of the Contracting Authority to encourage participation by Small and Medium Enterprises (SMEs) in this competition.  </w:t>
      </w:r>
    </w:p>
    <w:p w14:paraId="70F78165" w14:textId="36383329" w:rsidR="00646158" w:rsidRPr="000B7249" w:rsidRDefault="0057703F" w:rsidP="00B11249">
      <w:pPr>
        <w:spacing w:before="0"/>
        <w:rPr>
          <w:lang w:val="en-IE"/>
        </w:rPr>
      </w:pPr>
      <w:r w:rsidRPr="000B7249">
        <w:rPr>
          <w:lang w:val="en-IE"/>
        </w:rPr>
        <w:t xml:space="preserve">SMEs are encouraged to explore the possibilities of forming relationships with other SMEs or with larger enterprises to meet the financial, economic or technical capacity requirements of the competition, if required. </w:t>
      </w:r>
    </w:p>
    <w:p w14:paraId="7CBE6768" w14:textId="2E94854F" w:rsidR="00B34DD2" w:rsidRPr="000B7249" w:rsidRDefault="00646158" w:rsidP="00B11249">
      <w:pPr>
        <w:pStyle w:val="Heading1"/>
        <w:numPr>
          <w:ilvl w:val="0"/>
          <w:numId w:val="4"/>
        </w:numPr>
        <w:ind w:left="426"/>
      </w:pPr>
      <w:bookmarkStart w:id="7" w:name="_Toc72957313"/>
      <w:r w:rsidRPr="000B7249">
        <w:t>SCOPE OF REQUIREMENT</w:t>
      </w:r>
      <w:bookmarkEnd w:id="7"/>
    </w:p>
    <w:p w14:paraId="6E546342" w14:textId="77777777" w:rsidR="00C7511F" w:rsidRPr="00C7511F"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8" w:name="_Toc64619935"/>
      <w:bookmarkStart w:id="9" w:name="_Toc64621786"/>
      <w:bookmarkStart w:id="10" w:name="_Toc66368901"/>
      <w:bookmarkStart w:id="11" w:name="_Toc72325191"/>
      <w:bookmarkStart w:id="12" w:name="_Toc72325934"/>
      <w:bookmarkStart w:id="13" w:name="_Toc72331942"/>
      <w:bookmarkStart w:id="14" w:name="_Toc72421482"/>
      <w:bookmarkStart w:id="15" w:name="_Toc72957314"/>
      <w:bookmarkEnd w:id="8"/>
      <w:bookmarkEnd w:id="9"/>
      <w:bookmarkEnd w:id="10"/>
      <w:bookmarkEnd w:id="11"/>
      <w:bookmarkEnd w:id="12"/>
      <w:bookmarkEnd w:id="13"/>
      <w:bookmarkEnd w:id="14"/>
      <w:bookmarkEnd w:id="15"/>
    </w:p>
    <w:p w14:paraId="2F91FE70" w14:textId="16B6652E" w:rsidR="00B34DD2" w:rsidRPr="00C7511F" w:rsidRDefault="00B34DD2" w:rsidP="00B11249">
      <w:pPr>
        <w:pStyle w:val="Heading2"/>
        <w:jc w:val="both"/>
      </w:pPr>
      <w:bookmarkStart w:id="16" w:name="_Toc72957315"/>
      <w:r w:rsidRPr="00C7511F">
        <w:t>Specification of Requirements</w:t>
      </w:r>
      <w:bookmarkEnd w:id="16"/>
      <w:r w:rsidRPr="00C7511F">
        <w:t xml:space="preserve"> </w:t>
      </w:r>
    </w:p>
    <w:p w14:paraId="2274AD93" w14:textId="77777777" w:rsidR="00287CF3" w:rsidRPr="00287CF3" w:rsidRDefault="00287CF3" w:rsidP="00382C16">
      <w:pPr>
        <w:spacing w:before="0" w:after="0" w:line="259" w:lineRule="auto"/>
        <w:rPr>
          <w:b/>
          <w:bCs/>
          <w:color w:val="EE0000"/>
        </w:rPr>
      </w:pPr>
      <w:r w:rsidRPr="00287CF3">
        <w:rPr>
          <w:rFonts w:eastAsiaTheme="minorEastAsia"/>
          <w:b/>
          <w:bCs/>
          <w:color w:val="auto"/>
          <w:lang w:val="en-IE" w:eastAsia="ja-JP"/>
        </w:rPr>
        <w:t>M</w:t>
      </w:r>
      <w:r w:rsidRPr="00287CF3">
        <w:rPr>
          <w:b/>
          <w:bCs/>
          <w:color w:val="auto"/>
          <w:lang w:val="en-IE"/>
        </w:rPr>
        <w:t>entoring Services specific to Food and Beverage Producing Businesses for Kildare County Council’s Local Enterprise Office</w:t>
      </w:r>
      <w:r w:rsidRPr="00287CF3">
        <w:rPr>
          <w:b/>
          <w:bCs/>
          <w:color w:val="EE0000"/>
        </w:rPr>
        <w:t xml:space="preserve"> </w:t>
      </w:r>
    </w:p>
    <w:p w14:paraId="64B9B984" w14:textId="77777777" w:rsidR="00287CF3" w:rsidRDefault="00287CF3" w:rsidP="00382C16">
      <w:pPr>
        <w:spacing w:before="0" w:after="0" w:line="259" w:lineRule="auto"/>
        <w:rPr>
          <w:color w:val="EE0000"/>
        </w:rPr>
      </w:pPr>
    </w:p>
    <w:p w14:paraId="7A733CA7" w14:textId="55AE5234" w:rsidR="00382C16" w:rsidRDefault="00382C16" w:rsidP="000F04AE">
      <w:pPr>
        <w:spacing w:before="0" w:after="160" w:line="259" w:lineRule="auto"/>
        <w:rPr>
          <w:color w:val="auto"/>
        </w:rPr>
      </w:pPr>
      <w:r w:rsidRPr="00051079">
        <w:rPr>
          <w:color w:val="auto"/>
        </w:rPr>
        <w:t>Kildare County Council’s Local Enterprise Office (LEO) is seeking proposals from experienced business practitioners with expertise specific to the food and beverage industry to work with</w:t>
      </w:r>
      <w:r w:rsidR="00255460" w:rsidRPr="00051079">
        <w:rPr>
          <w:color w:val="auto"/>
        </w:rPr>
        <w:t xml:space="preserve"> </w:t>
      </w:r>
      <w:r w:rsidRPr="00051079">
        <w:rPr>
          <w:color w:val="auto"/>
        </w:rPr>
        <w:t>start-up</w:t>
      </w:r>
      <w:r w:rsidR="00255460" w:rsidRPr="00051079">
        <w:rPr>
          <w:color w:val="auto"/>
        </w:rPr>
        <w:t>s</w:t>
      </w:r>
      <w:r w:rsidRPr="00051079">
        <w:rPr>
          <w:color w:val="auto"/>
        </w:rPr>
        <w:t xml:space="preserve"> and established entrepreneurs, small business owner/managers who need practical and strategic </w:t>
      </w:r>
      <w:r w:rsidR="00051079" w:rsidRPr="00051079">
        <w:rPr>
          <w:color w:val="auto"/>
        </w:rPr>
        <w:t>mentoring</w:t>
      </w:r>
      <w:r w:rsidRPr="00051079">
        <w:rPr>
          <w:color w:val="auto"/>
        </w:rPr>
        <w:t xml:space="preserve"> </w:t>
      </w:r>
      <w:r w:rsidR="00255460" w:rsidRPr="00051079">
        <w:rPr>
          <w:color w:val="auto"/>
        </w:rPr>
        <w:t>specific to the food and beverage industry</w:t>
      </w:r>
      <w:r w:rsidRPr="00051079">
        <w:rPr>
          <w:color w:val="auto"/>
        </w:rPr>
        <w:t>.</w:t>
      </w:r>
    </w:p>
    <w:p w14:paraId="0179F058" w14:textId="48018252" w:rsidR="00883764" w:rsidRPr="00883764" w:rsidRDefault="00883764" w:rsidP="00883764">
      <w:pPr>
        <w:spacing w:before="0" w:after="160" w:line="259" w:lineRule="auto"/>
        <w:rPr>
          <w:color w:val="auto"/>
        </w:rPr>
      </w:pPr>
      <w:r>
        <w:rPr>
          <w:color w:val="auto"/>
        </w:rPr>
        <w:t>Mentors are sought in the following areas s</w:t>
      </w:r>
      <w:r w:rsidRPr="00883764">
        <w:rPr>
          <w:color w:val="auto"/>
        </w:rPr>
        <w:t xml:space="preserve">pecific to </w:t>
      </w:r>
      <w:r>
        <w:rPr>
          <w:color w:val="auto"/>
        </w:rPr>
        <w:t>f</w:t>
      </w:r>
      <w:r w:rsidRPr="00883764">
        <w:rPr>
          <w:color w:val="auto"/>
        </w:rPr>
        <w:t>ood/</w:t>
      </w:r>
      <w:r>
        <w:rPr>
          <w:color w:val="auto"/>
        </w:rPr>
        <w:t>b</w:t>
      </w:r>
      <w:r w:rsidRPr="00883764">
        <w:rPr>
          <w:color w:val="auto"/>
        </w:rPr>
        <w:t xml:space="preserve">everage </w:t>
      </w:r>
      <w:r>
        <w:rPr>
          <w:color w:val="auto"/>
        </w:rPr>
        <w:t>production:</w:t>
      </w:r>
    </w:p>
    <w:p w14:paraId="3E060103" w14:textId="77777777" w:rsidR="00883764" w:rsidRPr="00883764" w:rsidRDefault="00883764" w:rsidP="00883764">
      <w:pPr>
        <w:pStyle w:val="ListParagraph"/>
        <w:numPr>
          <w:ilvl w:val="0"/>
          <w:numId w:val="16"/>
        </w:numPr>
        <w:spacing w:before="0" w:after="160" w:line="259" w:lineRule="auto"/>
        <w:rPr>
          <w:color w:val="auto"/>
        </w:rPr>
      </w:pPr>
      <w:r w:rsidRPr="00883764">
        <w:rPr>
          <w:color w:val="auto"/>
        </w:rPr>
        <w:t>Scaling to supply national and international food retailers</w:t>
      </w:r>
      <w:r w:rsidRPr="00883764">
        <w:rPr>
          <w:color w:val="auto"/>
        </w:rPr>
        <w:tab/>
      </w:r>
    </w:p>
    <w:p w14:paraId="0761ADE8" w14:textId="77777777" w:rsidR="00883764" w:rsidRPr="00883764" w:rsidRDefault="00883764" w:rsidP="00883764">
      <w:pPr>
        <w:pStyle w:val="ListParagraph"/>
        <w:numPr>
          <w:ilvl w:val="0"/>
          <w:numId w:val="16"/>
        </w:numPr>
        <w:spacing w:before="0" w:after="160" w:line="259" w:lineRule="auto"/>
        <w:rPr>
          <w:color w:val="auto"/>
        </w:rPr>
      </w:pPr>
      <w:r w:rsidRPr="00883764">
        <w:rPr>
          <w:color w:val="auto"/>
        </w:rPr>
        <w:t>Managing distributor contracts and relationships</w:t>
      </w:r>
      <w:r w:rsidRPr="00883764">
        <w:rPr>
          <w:color w:val="auto"/>
        </w:rPr>
        <w:tab/>
      </w:r>
    </w:p>
    <w:p w14:paraId="495945BE" w14:textId="77777777" w:rsidR="00883764" w:rsidRPr="00883764" w:rsidRDefault="00883764" w:rsidP="00883764">
      <w:pPr>
        <w:pStyle w:val="ListParagraph"/>
        <w:numPr>
          <w:ilvl w:val="0"/>
          <w:numId w:val="16"/>
        </w:numPr>
        <w:spacing w:before="0" w:after="160" w:line="259" w:lineRule="auto"/>
        <w:rPr>
          <w:color w:val="auto"/>
        </w:rPr>
      </w:pPr>
      <w:r w:rsidRPr="00883764">
        <w:rPr>
          <w:color w:val="auto"/>
        </w:rPr>
        <w:t>Quality manual &amp; standard development for BRC, ISO 22000, etc</w:t>
      </w:r>
      <w:r w:rsidRPr="00883764">
        <w:rPr>
          <w:color w:val="auto"/>
        </w:rPr>
        <w:tab/>
      </w:r>
    </w:p>
    <w:p w14:paraId="00D5672A" w14:textId="77777777" w:rsidR="00883764" w:rsidRPr="00883764" w:rsidRDefault="00883764" w:rsidP="00883764">
      <w:pPr>
        <w:pStyle w:val="ListParagraph"/>
        <w:numPr>
          <w:ilvl w:val="0"/>
          <w:numId w:val="16"/>
        </w:numPr>
        <w:spacing w:before="0" w:after="160" w:line="259" w:lineRule="auto"/>
        <w:rPr>
          <w:color w:val="auto"/>
        </w:rPr>
      </w:pPr>
      <w:r w:rsidRPr="00883764">
        <w:rPr>
          <w:color w:val="auto"/>
        </w:rPr>
        <w:t>Ingredients specialist</w:t>
      </w:r>
      <w:r w:rsidRPr="00883764">
        <w:rPr>
          <w:color w:val="auto"/>
        </w:rPr>
        <w:tab/>
      </w:r>
    </w:p>
    <w:p w14:paraId="15E36145" w14:textId="77777777" w:rsidR="00883764" w:rsidRPr="00883764" w:rsidRDefault="00883764" w:rsidP="00883764">
      <w:pPr>
        <w:pStyle w:val="ListParagraph"/>
        <w:numPr>
          <w:ilvl w:val="0"/>
          <w:numId w:val="16"/>
        </w:numPr>
        <w:spacing w:before="0" w:after="160" w:line="259" w:lineRule="auto"/>
        <w:rPr>
          <w:color w:val="auto"/>
        </w:rPr>
      </w:pPr>
      <w:r w:rsidRPr="00883764">
        <w:rPr>
          <w:color w:val="auto"/>
        </w:rPr>
        <w:t>Labelling and nutritional declarations</w:t>
      </w:r>
      <w:r w:rsidRPr="00883764">
        <w:rPr>
          <w:color w:val="auto"/>
        </w:rPr>
        <w:tab/>
      </w:r>
    </w:p>
    <w:p w14:paraId="4F175195" w14:textId="77777777" w:rsidR="00883764" w:rsidRPr="00883764" w:rsidRDefault="00883764" w:rsidP="00883764">
      <w:pPr>
        <w:pStyle w:val="ListParagraph"/>
        <w:numPr>
          <w:ilvl w:val="0"/>
          <w:numId w:val="16"/>
        </w:numPr>
        <w:spacing w:before="0" w:after="160" w:line="259" w:lineRule="auto"/>
        <w:rPr>
          <w:color w:val="auto"/>
        </w:rPr>
      </w:pPr>
      <w:r w:rsidRPr="00883764">
        <w:rPr>
          <w:color w:val="auto"/>
        </w:rPr>
        <w:t>Shelf-life extension and ingredient functionality</w:t>
      </w:r>
      <w:r w:rsidRPr="00883764">
        <w:rPr>
          <w:color w:val="auto"/>
        </w:rPr>
        <w:tab/>
      </w:r>
    </w:p>
    <w:p w14:paraId="4CA1AB57" w14:textId="77777777" w:rsidR="00883764" w:rsidRPr="00883764" w:rsidRDefault="00883764" w:rsidP="00883764">
      <w:pPr>
        <w:pStyle w:val="ListParagraph"/>
        <w:numPr>
          <w:ilvl w:val="0"/>
          <w:numId w:val="16"/>
        </w:numPr>
        <w:spacing w:before="0" w:after="160" w:line="259" w:lineRule="auto"/>
        <w:rPr>
          <w:color w:val="auto"/>
        </w:rPr>
      </w:pPr>
      <w:r w:rsidRPr="00883764">
        <w:rPr>
          <w:color w:val="auto"/>
        </w:rPr>
        <w:t>Understanding pricing and margins for food/beverage product production</w:t>
      </w:r>
      <w:r w:rsidRPr="00883764">
        <w:rPr>
          <w:color w:val="auto"/>
        </w:rPr>
        <w:tab/>
      </w:r>
    </w:p>
    <w:p w14:paraId="7F81F68E" w14:textId="69363324" w:rsidR="00883764" w:rsidRDefault="00883764" w:rsidP="006232D7">
      <w:pPr>
        <w:spacing w:before="0" w:after="160" w:line="259" w:lineRule="auto"/>
        <w:rPr>
          <w:color w:val="auto"/>
        </w:rPr>
      </w:pPr>
      <w:r>
        <w:rPr>
          <w:color w:val="auto"/>
        </w:rPr>
        <w:t>Proposals may also include other suggested areas of expertise if s</w:t>
      </w:r>
      <w:r w:rsidRPr="00883764">
        <w:rPr>
          <w:color w:val="auto"/>
        </w:rPr>
        <w:t xml:space="preserve">pecific to </w:t>
      </w:r>
      <w:r>
        <w:rPr>
          <w:color w:val="auto"/>
        </w:rPr>
        <w:t>f</w:t>
      </w:r>
      <w:r w:rsidRPr="00883764">
        <w:rPr>
          <w:color w:val="auto"/>
        </w:rPr>
        <w:t>ood/</w:t>
      </w:r>
      <w:r>
        <w:rPr>
          <w:color w:val="auto"/>
        </w:rPr>
        <w:t>b</w:t>
      </w:r>
      <w:r w:rsidRPr="00883764">
        <w:rPr>
          <w:color w:val="auto"/>
        </w:rPr>
        <w:t xml:space="preserve">everage </w:t>
      </w:r>
      <w:r>
        <w:rPr>
          <w:color w:val="auto"/>
        </w:rPr>
        <w:t>production.</w:t>
      </w:r>
    </w:p>
    <w:p w14:paraId="39EB7E5E" w14:textId="7136BC4E" w:rsidR="006232D7" w:rsidRPr="00051079" w:rsidRDefault="006232D7" w:rsidP="006232D7">
      <w:pPr>
        <w:spacing w:before="0" w:after="160" w:line="259" w:lineRule="auto"/>
        <w:rPr>
          <w:color w:val="auto"/>
        </w:rPr>
      </w:pPr>
      <w:r w:rsidRPr="00051079">
        <w:rPr>
          <w:color w:val="auto"/>
        </w:rPr>
        <w:t xml:space="preserve">The duration of each assignment will be decided by the Local Enterprise Office based on the needs of the client. </w:t>
      </w:r>
    </w:p>
    <w:p w14:paraId="74BAB62B" w14:textId="25ABEA25" w:rsidR="006232D7" w:rsidRPr="00051079" w:rsidRDefault="006232D7" w:rsidP="006232D7">
      <w:pPr>
        <w:spacing w:before="0" w:after="160" w:line="259" w:lineRule="auto"/>
        <w:rPr>
          <w:color w:val="auto"/>
        </w:rPr>
      </w:pPr>
      <w:r w:rsidRPr="00051079">
        <w:rPr>
          <w:rFonts w:ascii="ArialMT" w:eastAsia="Times New Roman" w:hAnsi="ArialMT" w:cs="Times New Roman"/>
          <w:color w:val="auto"/>
          <w:lang w:val="en-IE" w:eastAsia="en-IE"/>
        </w:rPr>
        <w:t xml:space="preserve">The </w:t>
      </w:r>
      <w:r w:rsidR="00051079" w:rsidRPr="00051079">
        <w:rPr>
          <w:rFonts w:ascii="ArialMT" w:eastAsia="Times New Roman" w:hAnsi="ArialMT" w:cs="Times New Roman"/>
          <w:color w:val="auto"/>
          <w:lang w:val="en-IE" w:eastAsia="en-IE"/>
        </w:rPr>
        <w:t>Mentor</w:t>
      </w:r>
      <w:r w:rsidRPr="00051079">
        <w:rPr>
          <w:rFonts w:ascii="ArialMT" w:eastAsia="Times New Roman" w:hAnsi="ArialMT" w:cs="Times New Roman"/>
          <w:color w:val="auto"/>
          <w:lang w:val="en-IE" w:eastAsia="en-IE"/>
        </w:rPr>
        <w:t xml:space="preserve"> will be assigned</w:t>
      </w:r>
      <w:r w:rsidR="00416138" w:rsidRPr="00051079">
        <w:rPr>
          <w:rFonts w:ascii="ArialMT" w:eastAsia="Times New Roman" w:hAnsi="ArialMT" w:cs="Times New Roman"/>
          <w:color w:val="auto"/>
          <w:lang w:val="en-IE" w:eastAsia="en-IE"/>
        </w:rPr>
        <w:t xml:space="preserve"> clients for</w:t>
      </w:r>
      <w:r w:rsidRPr="00051079">
        <w:rPr>
          <w:rFonts w:ascii="ArialMT" w:eastAsia="Times New Roman" w:hAnsi="ArialMT" w:cs="Times New Roman"/>
          <w:color w:val="auto"/>
          <w:lang w:val="en-IE" w:eastAsia="en-IE"/>
        </w:rPr>
        <w:t xml:space="preserve"> mentoring appointments via the Submit platform</w:t>
      </w:r>
      <w:r w:rsidR="00864532" w:rsidRPr="00051079">
        <w:rPr>
          <w:rFonts w:ascii="ArialMT" w:eastAsia="Times New Roman" w:hAnsi="ArialMT" w:cs="Times New Roman"/>
          <w:color w:val="auto"/>
          <w:lang w:val="en-IE" w:eastAsia="en-IE"/>
        </w:rPr>
        <w:t xml:space="preserve"> or any other method advised </w:t>
      </w:r>
      <w:r w:rsidR="00051079" w:rsidRPr="00051079">
        <w:rPr>
          <w:rFonts w:ascii="ArialMT" w:eastAsia="Times New Roman" w:hAnsi="ArialMT" w:cs="Times New Roman"/>
          <w:color w:val="auto"/>
          <w:lang w:val="en-IE" w:eastAsia="en-IE"/>
        </w:rPr>
        <w:t>b</w:t>
      </w:r>
      <w:r w:rsidR="00864532" w:rsidRPr="00051079">
        <w:rPr>
          <w:rFonts w:ascii="ArialMT" w:eastAsia="Times New Roman" w:hAnsi="ArialMT" w:cs="Times New Roman"/>
          <w:color w:val="auto"/>
          <w:lang w:val="en-IE" w:eastAsia="en-IE"/>
        </w:rPr>
        <w:t>y the Local Enterprise Office</w:t>
      </w:r>
      <w:r w:rsidRPr="00051079">
        <w:rPr>
          <w:rFonts w:ascii="ArialMT" w:eastAsia="Times New Roman" w:hAnsi="ArialMT" w:cs="Times New Roman"/>
          <w:color w:val="auto"/>
          <w:lang w:val="en-IE" w:eastAsia="en-IE"/>
        </w:rPr>
        <w:t>.  On completion of the mentoring session</w:t>
      </w:r>
      <w:r w:rsidR="00051079" w:rsidRPr="00051079">
        <w:rPr>
          <w:rFonts w:ascii="ArialMT" w:eastAsia="Times New Roman" w:hAnsi="ArialMT" w:cs="Times New Roman"/>
          <w:color w:val="auto"/>
          <w:lang w:val="en-IE" w:eastAsia="en-IE"/>
        </w:rPr>
        <w:t>(s)</w:t>
      </w:r>
      <w:r w:rsidRPr="00051079">
        <w:rPr>
          <w:rFonts w:ascii="ArialMT" w:eastAsia="Times New Roman" w:hAnsi="ArialMT" w:cs="Times New Roman"/>
          <w:color w:val="auto"/>
          <w:lang w:val="en-IE" w:eastAsia="en-IE"/>
        </w:rPr>
        <w:t xml:space="preserve"> the </w:t>
      </w:r>
      <w:r w:rsidR="00051079" w:rsidRPr="00051079">
        <w:rPr>
          <w:rFonts w:ascii="ArialMT" w:eastAsia="Times New Roman" w:hAnsi="ArialMT" w:cs="Times New Roman"/>
          <w:color w:val="auto"/>
          <w:lang w:val="en-IE" w:eastAsia="en-IE"/>
        </w:rPr>
        <w:t>mentor</w:t>
      </w:r>
      <w:r w:rsidRPr="00051079">
        <w:rPr>
          <w:rFonts w:ascii="ArialMT" w:eastAsia="Times New Roman" w:hAnsi="ArialMT" w:cs="Times New Roman"/>
          <w:color w:val="auto"/>
          <w:lang w:val="en-IE" w:eastAsia="en-IE"/>
        </w:rPr>
        <w:t xml:space="preserve"> will prepare a report and action plan for the client and submit an online </w:t>
      </w:r>
      <w:r w:rsidRPr="00051079">
        <w:rPr>
          <w:rFonts w:ascii="ArialMT" w:eastAsia="Times New Roman" w:hAnsi="ArialMT" w:cs="Times New Roman"/>
          <w:color w:val="auto"/>
          <w:lang w:val="en-IE" w:eastAsia="en-IE"/>
        </w:rPr>
        <w:lastRenderedPageBreak/>
        <w:t>project report to the Local Enterprise Office via the Submit platform</w:t>
      </w:r>
      <w:r w:rsidR="00864532" w:rsidRPr="00051079">
        <w:rPr>
          <w:rFonts w:ascii="ArialMT" w:eastAsia="Times New Roman" w:hAnsi="ArialMT" w:cs="Times New Roman"/>
          <w:color w:val="auto"/>
          <w:lang w:val="en-IE" w:eastAsia="en-IE"/>
        </w:rPr>
        <w:t xml:space="preserve"> or as advised by the Local Enterprise Office</w:t>
      </w:r>
      <w:r w:rsidRPr="00051079">
        <w:rPr>
          <w:rFonts w:ascii="ArialMT" w:eastAsia="Times New Roman" w:hAnsi="ArialMT" w:cs="Times New Roman"/>
          <w:color w:val="auto"/>
          <w:lang w:val="en-IE" w:eastAsia="en-IE"/>
        </w:rPr>
        <w:t>.</w:t>
      </w:r>
    </w:p>
    <w:p w14:paraId="7CDE2E51" w14:textId="57F257F8" w:rsidR="00B34DD2" w:rsidRPr="000B7249" w:rsidRDefault="00B34DD2" w:rsidP="00B11249">
      <w:pPr>
        <w:pStyle w:val="Heading2"/>
        <w:jc w:val="both"/>
      </w:pPr>
      <w:bookmarkStart w:id="17" w:name="_Toc72957317"/>
      <w:r w:rsidRPr="000B7249">
        <w:t>Delivery Locations</w:t>
      </w:r>
      <w:bookmarkEnd w:id="17"/>
    </w:p>
    <w:p w14:paraId="72A3E384" w14:textId="53791F4D" w:rsidR="00B34DD2" w:rsidRPr="00051079" w:rsidRDefault="008815C6" w:rsidP="00B11249">
      <w:pPr>
        <w:spacing w:before="0"/>
        <w:rPr>
          <w:color w:val="auto"/>
          <w:lang w:val="en-IE"/>
        </w:rPr>
      </w:pPr>
      <w:r w:rsidRPr="00051079">
        <w:rPr>
          <w:color w:val="auto"/>
          <w:lang w:val="en-IE"/>
        </w:rPr>
        <w:t>Mentoring may be delivered</w:t>
      </w:r>
      <w:r w:rsidR="00051079" w:rsidRPr="00051079">
        <w:rPr>
          <w:color w:val="auto"/>
          <w:lang w:val="en-IE"/>
        </w:rPr>
        <w:t xml:space="preserve"> online or</w:t>
      </w:r>
      <w:r w:rsidRPr="00051079">
        <w:rPr>
          <w:color w:val="auto"/>
          <w:lang w:val="en-IE"/>
        </w:rPr>
        <w:t xml:space="preserve"> in-person at a location specified by the Local Enterprise Office as follows:</w:t>
      </w:r>
    </w:p>
    <w:p w14:paraId="29E22FF5" w14:textId="74284263" w:rsidR="00051079" w:rsidRPr="00051079" w:rsidRDefault="00051079" w:rsidP="00051079">
      <w:pPr>
        <w:pStyle w:val="ListParagraph"/>
        <w:numPr>
          <w:ilvl w:val="0"/>
          <w:numId w:val="15"/>
        </w:numPr>
        <w:spacing w:before="0" w:after="160" w:line="259" w:lineRule="auto"/>
        <w:rPr>
          <w:color w:val="auto"/>
        </w:rPr>
      </w:pPr>
      <w:r w:rsidRPr="00051079">
        <w:rPr>
          <w:color w:val="auto"/>
        </w:rPr>
        <w:t>Food, Drink and Agri Tech Innovation Hub, Athy</w:t>
      </w:r>
    </w:p>
    <w:p w14:paraId="49A2432E" w14:textId="6A22A88F" w:rsidR="008815C6" w:rsidRPr="00051079" w:rsidRDefault="008815C6" w:rsidP="008815C6">
      <w:pPr>
        <w:pStyle w:val="ListParagraph"/>
        <w:numPr>
          <w:ilvl w:val="0"/>
          <w:numId w:val="15"/>
        </w:numPr>
        <w:spacing w:before="0"/>
        <w:rPr>
          <w:color w:val="auto"/>
          <w:lang w:val="en-IE"/>
        </w:rPr>
      </w:pPr>
      <w:r w:rsidRPr="00051079">
        <w:rPr>
          <w:color w:val="auto"/>
          <w:lang w:val="en-IE"/>
        </w:rPr>
        <w:t xml:space="preserve">Other </w:t>
      </w:r>
      <w:r w:rsidR="00382C16" w:rsidRPr="00051079">
        <w:rPr>
          <w:color w:val="auto"/>
          <w:lang w:val="en-IE"/>
        </w:rPr>
        <w:t>venue organised by the Local Enterprise Office</w:t>
      </w:r>
      <w:r w:rsidR="00051079" w:rsidRPr="00051079">
        <w:rPr>
          <w:color w:val="auto"/>
          <w:lang w:val="en-IE"/>
        </w:rPr>
        <w:t xml:space="preserve"> including </w:t>
      </w:r>
      <w:r w:rsidR="00255460" w:rsidRPr="00051079">
        <w:rPr>
          <w:color w:val="auto"/>
          <w:lang w:val="en-IE"/>
        </w:rPr>
        <w:t>the business</w:t>
      </w:r>
      <w:r w:rsidR="00051079" w:rsidRPr="00051079">
        <w:rPr>
          <w:color w:val="auto"/>
          <w:lang w:val="en-IE"/>
        </w:rPr>
        <w:t>’</w:t>
      </w:r>
      <w:r w:rsidR="00255460" w:rsidRPr="00051079">
        <w:rPr>
          <w:color w:val="auto"/>
          <w:lang w:val="en-IE"/>
        </w:rPr>
        <w:t xml:space="preserve"> own premises (located in the county of Kildare)</w:t>
      </w:r>
      <w:r w:rsidR="00382C16" w:rsidRPr="00051079">
        <w:rPr>
          <w:color w:val="auto"/>
          <w:lang w:val="en-IE"/>
        </w:rPr>
        <w:t xml:space="preserve"> or online if appropriate to the mentoring being delivered and/or to facilitate a client where necessary</w:t>
      </w:r>
      <w:r w:rsidRPr="00051079">
        <w:rPr>
          <w:color w:val="auto"/>
          <w:lang w:val="en-IE"/>
        </w:rPr>
        <w:t>.</w:t>
      </w:r>
    </w:p>
    <w:p w14:paraId="54558637" w14:textId="1C03D1A3" w:rsidR="00255460" w:rsidRPr="00051079" w:rsidRDefault="00B34DD2" w:rsidP="00051079">
      <w:pPr>
        <w:pStyle w:val="Heading2"/>
        <w:jc w:val="both"/>
      </w:pPr>
      <w:bookmarkStart w:id="18" w:name="_Toc72957319"/>
      <w:r w:rsidRPr="00DD11DC">
        <w:t>Pricing</w:t>
      </w:r>
      <w:bookmarkStart w:id="19" w:name="_Hlk194144694"/>
      <w:bookmarkStart w:id="20" w:name="_Hlk72328445"/>
      <w:bookmarkStart w:id="21" w:name="_Hlk72318679"/>
      <w:bookmarkEnd w:id="18"/>
    </w:p>
    <w:p w14:paraId="700AD69A" w14:textId="0E51EF78" w:rsidR="00255460" w:rsidRPr="00051079" w:rsidRDefault="00255460" w:rsidP="00255460">
      <w:pPr>
        <w:spacing w:before="0" w:after="160" w:line="259" w:lineRule="auto"/>
        <w:rPr>
          <w:color w:val="auto"/>
        </w:rPr>
      </w:pPr>
      <w:r w:rsidRPr="00051079">
        <w:rPr>
          <w:color w:val="auto"/>
        </w:rPr>
        <w:t>One-to-one mentoring service rates are payable at the maximum of €58.33 per hour exclusive of VAT/€175 for a 3-hour session</w:t>
      </w:r>
      <w:r w:rsidR="00051079">
        <w:rPr>
          <w:color w:val="auto"/>
        </w:rPr>
        <w:t xml:space="preserve"> which includes report writing</w:t>
      </w:r>
      <w:r w:rsidRPr="00051079">
        <w:rPr>
          <w:color w:val="auto"/>
        </w:rPr>
        <w:t>.</w:t>
      </w:r>
    </w:p>
    <w:p w14:paraId="6AD7BDFD" w14:textId="5F1A8F48" w:rsidR="00255460" w:rsidRPr="00051079" w:rsidRDefault="00255460" w:rsidP="00255460">
      <w:pPr>
        <w:spacing w:before="0" w:after="160" w:line="259" w:lineRule="auto"/>
        <w:rPr>
          <w:color w:val="auto"/>
        </w:rPr>
      </w:pPr>
      <w:r w:rsidRPr="00051079">
        <w:rPr>
          <w:color w:val="auto"/>
        </w:rPr>
        <w:t>Specialist Mentoring Clinics will be delivered over a full day at a rate of €800 per day exclusive of VAT or pro–rata if a full day is not required.</w:t>
      </w:r>
      <w:r w:rsidR="00051079" w:rsidRPr="00051079">
        <w:rPr>
          <w:color w:val="auto"/>
        </w:rPr>
        <w:t xml:space="preserve"> These will be hosted in the Food, Drink and Agri Tech Innovation Hub, Athy.</w:t>
      </w:r>
    </w:p>
    <w:bookmarkEnd w:id="19"/>
    <w:p w14:paraId="76D8AA19" w14:textId="288C61F9" w:rsidR="008079B6" w:rsidRPr="000B7249" w:rsidRDefault="0059339B" w:rsidP="00B11249">
      <w:pPr>
        <w:spacing w:before="0"/>
        <w:rPr>
          <w:lang w:val="en-IE"/>
        </w:rPr>
      </w:pPr>
      <w:r w:rsidRPr="00DD11DC">
        <w:rPr>
          <w:lang w:val="en-IE"/>
        </w:rPr>
        <w:t xml:space="preserve">Any alteration or amendment to </w:t>
      </w:r>
      <w:r w:rsidR="005D2020" w:rsidRPr="00DD11DC">
        <w:rPr>
          <w:lang w:val="en-IE"/>
        </w:rPr>
        <w:t xml:space="preserve">the pricing </w:t>
      </w:r>
      <w:r w:rsidR="005D2020" w:rsidRPr="00DD11DC">
        <w:rPr>
          <w:color w:val="auto"/>
          <w:lang w:val="en-IE"/>
        </w:rPr>
        <w:t xml:space="preserve">schedule </w:t>
      </w:r>
      <w:r w:rsidRPr="00DD11DC">
        <w:rPr>
          <w:color w:val="auto"/>
          <w:lang w:val="en-IE"/>
        </w:rPr>
        <w:t xml:space="preserve">may result in that </w:t>
      </w:r>
      <w:r w:rsidR="007A7F38" w:rsidRPr="00DD11DC">
        <w:rPr>
          <w:color w:val="auto"/>
          <w:lang w:val="en-IE"/>
        </w:rPr>
        <w:t xml:space="preserve">economic operator’s bid </w:t>
      </w:r>
      <w:r w:rsidRPr="00DD11DC">
        <w:rPr>
          <w:color w:val="auto"/>
          <w:lang w:val="en-IE"/>
        </w:rPr>
        <w:t>being rejected</w:t>
      </w:r>
      <w:r w:rsidR="005D2020" w:rsidRPr="00DD11DC">
        <w:rPr>
          <w:lang w:val="en-IE"/>
        </w:rPr>
        <w:t>.</w:t>
      </w:r>
      <w:bookmarkEnd w:id="20"/>
      <w:r w:rsidR="005D2020">
        <w:rPr>
          <w:lang w:val="en-IE"/>
        </w:rPr>
        <w:t xml:space="preserve"> </w:t>
      </w:r>
    </w:p>
    <w:p w14:paraId="2C16F26E" w14:textId="3BC11CB6" w:rsidR="008079B6" w:rsidRPr="000B7249" w:rsidRDefault="008079B6" w:rsidP="00B11249">
      <w:pPr>
        <w:pStyle w:val="Heading2"/>
        <w:jc w:val="both"/>
      </w:pPr>
      <w:bookmarkStart w:id="22" w:name="_Toc72957320"/>
      <w:bookmarkEnd w:id="21"/>
      <w:r w:rsidRPr="000B7249">
        <w:t>Review of Performance</w:t>
      </w:r>
      <w:bookmarkEnd w:id="22"/>
    </w:p>
    <w:p w14:paraId="075F2A86" w14:textId="43D9D3CC" w:rsidR="008079B6" w:rsidRPr="000B7249" w:rsidRDefault="00AB7D14" w:rsidP="00B11249">
      <w:pPr>
        <w:spacing w:before="0"/>
        <w:rPr>
          <w:lang w:val="en-IE"/>
        </w:rPr>
      </w:pPr>
      <w:r w:rsidRPr="000B7249">
        <w:rPr>
          <w:lang w:val="en-IE"/>
        </w:rPr>
        <w:t>A quality service is required under this contract.  Therefore,</w:t>
      </w:r>
      <w:r w:rsidR="008079B6" w:rsidRPr="000B7249">
        <w:rPr>
          <w:lang w:val="en-IE"/>
        </w:rPr>
        <w:t xml:space="preserve"> performance will be continually monitored over the term of the contract. Cost competitiveness, </w:t>
      </w:r>
      <w:r w:rsidR="00F747C7" w:rsidRPr="000B7249">
        <w:rPr>
          <w:lang w:val="en-IE"/>
        </w:rPr>
        <w:t xml:space="preserve">performance, </w:t>
      </w:r>
      <w:r w:rsidR="008079B6" w:rsidRPr="000B7249">
        <w:rPr>
          <w:lang w:val="en-IE"/>
        </w:rPr>
        <w:t xml:space="preserve">quality of service and turnaround time will be the main criteria for measuring performance. </w:t>
      </w:r>
      <w:r w:rsidRPr="000B7249">
        <w:rPr>
          <w:lang w:val="en-IE"/>
        </w:rPr>
        <w:t xml:space="preserve"> </w:t>
      </w:r>
      <w:r w:rsidR="008079B6" w:rsidRPr="000B7249">
        <w:rPr>
          <w:lang w:val="en-IE"/>
        </w:rPr>
        <w:t xml:space="preserve"> </w:t>
      </w:r>
    </w:p>
    <w:p w14:paraId="2C0A9BA8" w14:textId="24CEFE02" w:rsidR="00B34DD2" w:rsidRPr="00C13C25" w:rsidRDefault="00B34DD2" w:rsidP="00B11249">
      <w:pPr>
        <w:pStyle w:val="Heading3"/>
      </w:pPr>
      <w:bookmarkStart w:id="23" w:name="_Toc72957321"/>
      <w:r w:rsidRPr="00C13C25">
        <w:t>Account Management</w:t>
      </w:r>
      <w:bookmarkEnd w:id="23"/>
    </w:p>
    <w:p w14:paraId="2E024829" w14:textId="66A38256" w:rsidR="00B34DD2" w:rsidRPr="000B7249" w:rsidRDefault="00BF38CF" w:rsidP="00B11249">
      <w:pPr>
        <w:rPr>
          <w:lang w:val="en-IE"/>
        </w:rPr>
      </w:pPr>
      <w:r w:rsidRPr="000B7249">
        <w:rPr>
          <w:lang w:val="en-IE"/>
        </w:rPr>
        <w:t>Economic operator</w:t>
      </w:r>
      <w:r w:rsidR="00646158" w:rsidRPr="000B7249">
        <w:rPr>
          <w:lang w:val="en-IE"/>
        </w:rPr>
        <w:t xml:space="preserve">s submitting a quotation are required </w:t>
      </w:r>
      <w:r w:rsidR="00B34DD2" w:rsidRPr="000B7249">
        <w:rPr>
          <w:lang w:val="en-IE"/>
        </w:rPr>
        <w:t xml:space="preserve">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p>
    <w:p w14:paraId="2897155A" w14:textId="5B6E9269" w:rsidR="00B34DD2" w:rsidRPr="00C7511F" w:rsidRDefault="00B34DD2" w:rsidP="00B11249">
      <w:pPr>
        <w:pStyle w:val="Heading3"/>
      </w:pPr>
      <w:bookmarkStart w:id="24" w:name="_Toc72957322"/>
      <w:bookmarkStart w:id="25" w:name="_Toc171227902"/>
      <w:bookmarkStart w:id="26" w:name="_Toc72904666"/>
      <w:bookmarkStart w:id="27" w:name="_Hlk490556319"/>
      <w:r w:rsidRPr="00C7511F">
        <w:t>Invoicing</w:t>
      </w:r>
      <w:bookmarkEnd w:id="24"/>
      <w:r w:rsidRPr="00C7511F">
        <w:t xml:space="preserve"> </w:t>
      </w:r>
      <w:bookmarkEnd w:id="25"/>
      <w:bookmarkEnd w:id="26"/>
    </w:p>
    <w:p w14:paraId="3FAE9A5A" w14:textId="77777777" w:rsidR="00051079" w:rsidRPr="00051079" w:rsidRDefault="00B34DD2" w:rsidP="00B11249">
      <w:pPr>
        <w:rPr>
          <w:color w:val="auto"/>
          <w:lang w:val="en-IE"/>
        </w:rPr>
      </w:pPr>
      <w:r w:rsidRPr="00051079">
        <w:rPr>
          <w:color w:val="auto"/>
          <w:lang w:val="en-IE"/>
        </w:rPr>
        <w:t xml:space="preserve">Invoices shall be submitted by the successful </w:t>
      </w:r>
      <w:r w:rsidR="00BF38CF" w:rsidRPr="00051079">
        <w:rPr>
          <w:color w:val="auto"/>
          <w:lang w:val="en-IE"/>
        </w:rPr>
        <w:t>economic operator</w:t>
      </w:r>
      <w:r w:rsidRPr="00051079">
        <w:rPr>
          <w:color w:val="auto"/>
          <w:lang w:val="en-IE"/>
        </w:rPr>
        <w:t xml:space="preserve"> </w:t>
      </w:r>
      <w:r w:rsidR="00416138" w:rsidRPr="00051079">
        <w:rPr>
          <w:color w:val="auto"/>
          <w:lang w:val="en-IE"/>
        </w:rPr>
        <w:t>on completion and submission of final reports following each clinic or mentoring appointment</w:t>
      </w:r>
      <w:r w:rsidRPr="00051079">
        <w:rPr>
          <w:color w:val="auto"/>
          <w:lang w:val="en-IE"/>
        </w:rPr>
        <w:t xml:space="preserve">.   </w:t>
      </w:r>
    </w:p>
    <w:p w14:paraId="2A146362" w14:textId="77777777" w:rsidR="00051079" w:rsidRPr="00051079" w:rsidRDefault="00B34DD2" w:rsidP="00B11249">
      <w:pPr>
        <w:rPr>
          <w:color w:val="auto"/>
          <w:lang w:val="en-IE"/>
        </w:rPr>
      </w:pPr>
      <w:r w:rsidRPr="00051079">
        <w:rPr>
          <w:color w:val="auto"/>
          <w:lang w:val="en-IE"/>
        </w:rPr>
        <w:t xml:space="preserve">All official invoices must quote a </w:t>
      </w:r>
      <w:r w:rsidR="00CF3D4E" w:rsidRPr="00051079">
        <w:rPr>
          <w:color w:val="auto"/>
          <w:lang w:val="en-IE"/>
        </w:rPr>
        <w:t>Contracting Authority</w:t>
      </w:r>
      <w:r w:rsidRPr="00051079">
        <w:rPr>
          <w:color w:val="auto"/>
          <w:lang w:val="en-IE"/>
        </w:rPr>
        <w:t xml:space="preserve"> purchase order number</w:t>
      </w:r>
      <w:r w:rsidR="00416138" w:rsidRPr="00051079">
        <w:rPr>
          <w:color w:val="auto"/>
          <w:lang w:val="en-IE"/>
        </w:rPr>
        <w:t xml:space="preserve"> which will be sent to you on the assignment of a client(s)</w:t>
      </w:r>
      <w:r w:rsidRPr="00051079">
        <w:rPr>
          <w:color w:val="auto"/>
          <w:lang w:val="en-IE"/>
        </w:rPr>
        <w:t>.</w:t>
      </w:r>
      <w:r w:rsidR="00416138" w:rsidRPr="00051079">
        <w:rPr>
          <w:color w:val="auto"/>
          <w:lang w:val="en-IE"/>
        </w:rPr>
        <w:t xml:space="preserve"> </w:t>
      </w:r>
    </w:p>
    <w:p w14:paraId="2F867150" w14:textId="7D7DF5E8" w:rsidR="000277F3" w:rsidRDefault="00416138" w:rsidP="00B11249">
      <w:pPr>
        <w:rPr>
          <w:color w:val="auto"/>
          <w:lang w:val="en-IE"/>
        </w:rPr>
      </w:pPr>
      <w:r w:rsidRPr="00051079">
        <w:rPr>
          <w:color w:val="auto"/>
          <w:lang w:val="en-IE"/>
        </w:rPr>
        <w:t xml:space="preserve">Invoices are to be submitted to </w:t>
      </w:r>
      <w:hyperlink r:id="rId15" w:history="1">
        <w:r w:rsidRPr="00051079">
          <w:rPr>
            <w:rStyle w:val="Hyperlink"/>
            <w:rFonts w:cs="Arial"/>
            <w:color w:val="auto"/>
            <w:lang w:val="en-IE"/>
          </w:rPr>
          <w:t>accountspayable@kildarecoco.ie</w:t>
        </w:r>
      </w:hyperlink>
      <w:r w:rsidRPr="00051079">
        <w:rPr>
          <w:color w:val="auto"/>
          <w:lang w:val="en-IE"/>
        </w:rPr>
        <w:t xml:space="preserve"> and cc’</w:t>
      </w:r>
      <w:r w:rsidR="00864532" w:rsidRPr="00051079">
        <w:rPr>
          <w:color w:val="auto"/>
          <w:lang w:val="en-IE"/>
        </w:rPr>
        <w:t>d to</w:t>
      </w:r>
      <w:r w:rsidRPr="00051079">
        <w:rPr>
          <w:color w:val="auto"/>
          <w:lang w:val="en-IE"/>
        </w:rPr>
        <w:t xml:space="preserve"> </w:t>
      </w:r>
      <w:hyperlink r:id="rId16" w:history="1">
        <w:r w:rsidRPr="00051079">
          <w:rPr>
            <w:rStyle w:val="Hyperlink"/>
            <w:rFonts w:cs="Arial"/>
            <w:color w:val="auto"/>
            <w:lang w:val="en-IE"/>
          </w:rPr>
          <w:t>localenterprise@kildarecoco.ie</w:t>
        </w:r>
      </w:hyperlink>
      <w:r w:rsidRPr="00051079">
        <w:rPr>
          <w:color w:val="auto"/>
          <w:lang w:val="en-IE"/>
        </w:rPr>
        <w:t xml:space="preserve">. </w:t>
      </w:r>
      <w:r w:rsidR="00B34DD2" w:rsidRPr="00051079">
        <w:rPr>
          <w:color w:val="auto"/>
          <w:lang w:val="en-IE"/>
        </w:rPr>
        <w:t xml:space="preserve">  All invoices which do not quote the relevant order number(s) will be returned to the </w:t>
      </w:r>
      <w:r w:rsidR="00F747C7" w:rsidRPr="00051079">
        <w:rPr>
          <w:color w:val="auto"/>
          <w:lang w:val="en-IE"/>
        </w:rPr>
        <w:t>service provider</w:t>
      </w:r>
      <w:r w:rsidR="00B34DD2" w:rsidRPr="00051079">
        <w:rPr>
          <w:color w:val="auto"/>
          <w:lang w:val="en-IE"/>
        </w:rPr>
        <w:t>.</w:t>
      </w:r>
      <w:r w:rsidR="00051079">
        <w:rPr>
          <w:color w:val="auto"/>
          <w:lang w:val="en-IE"/>
        </w:rPr>
        <w:t xml:space="preserve"> Tax clearance is required to process all invoices.</w:t>
      </w:r>
      <w:r w:rsidR="00B34DD2" w:rsidRPr="00051079">
        <w:rPr>
          <w:color w:val="auto"/>
          <w:lang w:val="en-IE"/>
        </w:rPr>
        <w:t xml:space="preserve"> </w:t>
      </w:r>
      <w:bookmarkStart w:id="28" w:name="_Toc171227903"/>
      <w:bookmarkStart w:id="29" w:name="_Toc72904667"/>
    </w:p>
    <w:p w14:paraId="55431084" w14:textId="0039A2DB" w:rsidR="00C8483E" w:rsidRDefault="00C8483E" w:rsidP="00C8483E">
      <w:pPr>
        <w:pStyle w:val="Heading2"/>
      </w:pPr>
      <w:r>
        <w:lastRenderedPageBreak/>
        <w:t>Duration</w:t>
      </w:r>
    </w:p>
    <w:p w14:paraId="707CD664" w14:textId="65324751" w:rsidR="00C8483E" w:rsidRPr="00C8483E" w:rsidRDefault="00C8483E" w:rsidP="00C8483E">
      <w:pPr>
        <w:rPr>
          <w:lang w:val="en-IE"/>
        </w:rPr>
      </w:pPr>
      <w:r>
        <w:rPr>
          <w:lang w:val="en-IE"/>
        </w:rPr>
        <w:t>It is anticipated that that this panel will remain open for a maximum of 4 years.</w:t>
      </w:r>
    </w:p>
    <w:bookmarkEnd w:id="27"/>
    <w:bookmarkEnd w:id="28"/>
    <w:bookmarkEnd w:id="29"/>
    <w:p w14:paraId="11E913FF" w14:textId="77777777" w:rsidR="002C4B84" w:rsidRDefault="002C4B84" w:rsidP="00B11249">
      <w:pPr>
        <w:spacing w:before="0"/>
        <w:rPr>
          <w:lang w:val="en-IE"/>
        </w:rPr>
      </w:pPr>
    </w:p>
    <w:p w14:paraId="2840CFC4" w14:textId="1296AC56" w:rsidR="00B34DD2" w:rsidRPr="000B7249" w:rsidRDefault="008A3C06" w:rsidP="00B11249">
      <w:pPr>
        <w:pStyle w:val="Heading1"/>
        <w:numPr>
          <w:ilvl w:val="0"/>
          <w:numId w:val="4"/>
        </w:numPr>
        <w:ind w:left="284"/>
      </w:pPr>
      <w:bookmarkStart w:id="30" w:name="_Toc72957324"/>
      <w:r w:rsidRPr="000B7249">
        <w:t>EVALUATION CRITERIA</w:t>
      </w:r>
      <w:bookmarkEnd w:id="30"/>
    </w:p>
    <w:p w14:paraId="00555352" w14:textId="77777777" w:rsidR="001A4D32" w:rsidRPr="000B7249" w:rsidRDefault="001A4D32" w:rsidP="00B11249">
      <w:pPr>
        <w:spacing w:before="0" w:after="0" w:line="240" w:lineRule="auto"/>
        <w:rPr>
          <w:lang w:val="en-IE"/>
        </w:rPr>
      </w:pPr>
    </w:p>
    <w:p w14:paraId="0295D759" w14:textId="77777777" w:rsidR="00C7511F" w:rsidRPr="00C7511F"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31" w:name="_Toc64619945"/>
      <w:bookmarkStart w:id="32" w:name="_Toc64621796"/>
      <w:bookmarkStart w:id="33" w:name="_Toc66368912"/>
      <w:bookmarkStart w:id="34" w:name="_Toc72325202"/>
      <w:bookmarkStart w:id="35" w:name="_Toc72325945"/>
      <w:bookmarkStart w:id="36" w:name="_Toc72331953"/>
      <w:bookmarkStart w:id="37" w:name="_Toc72421493"/>
      <w:bookmarkStart w:id="38" w:name="_Toc72957325"/>
      <w:bookmarkEnd w:id="31"/>
      <w:bookmarkEnd w:id="32"/>
      <w:bookmarkEnd w:id="33"/>
      <w:bookmarkEnd w:id="34"/>
      <w:bookmarkEnd w:id="35"/>
      <w:bookmarkEnd w:id="36"/>
      <w:bookmarkEnd w:id="37"/>
      <w:bookmarkEnd w:id="38"/>
    </w:p>
    <w:p w14:paraId="21E43B6E" w14:textId="10BECB9C" w:rsidR="00B34DD2" w:rsidRPr="000B7249" w:rsidRDefault="004E5C3E" w:rsidP="00B11249">
      <w:pPr>
        <w:pStyle w:val="Heading2"/>
        <w:jc w:val="both"/>
      </w:pPr>
      <w:bookmarkStart w:id="39" w:name="_Toc72957326"/>
      <w:r w:rsidRPr="000B7249">
        <w:t>Suitability</w:t>
      </w:r>
      <w:bookmarkEnd w:id="39"/>
    </w:p>
    <w:p w14:paraId="4BC8AF12" w14:textId="7AC71014" w:rsidR="00B34DD2" w:rsidRPr="000B7249" w:rsidRDefault="004E5C3E" w:rsidP="00B11249">
      <w:pPr>
        <w:spacing w:before="0"/>
        <w:rPr>
          <w:lang w:val="en-IE"/>
        </w:rPr>
      </w:pPr>
      <w:r w:rsidRPr="000B7249">
        <w:rPr>
          <w:lang w:val="en-IE"/>
        </w:rPr>
        <w:t>The Contracting Authority</w:t>
      </w:r>
      <w:r w:rsidR="00B34DD2" w:rsidRPr="000B7249">
        <w:rPr>
          <w:lang w:val="en-IE"/>
        </w:rPr>
        <w:t xml:space="preserve"> will only consider </w:t>
      </w:r>
      <w:r w:rsidR="00051079">
        <w:rPr>
          <w:lang w:val="en-IE"/>
        </w:rPr>
        <w:t>submissions</w:t>
      </w:r>
      <w:r w:rsidR="00B34DD2" w:rsidRPr="000B7249">
        <w:rPr>
          <w:lang w:val="en-IE"/>
        </w:rPr>
        <w:t xml:space="preserve"> from competent and financially sound and compliant </w:t>
      </w:r>
      <w:r w:rsidR="00BF38CF" w:rsidRPr="000B7249">
        <w:rPr>
          <w:lang w:val="en-IE"/>
        </w:rPr>
        <w:t>economic operator</w:t>
      </w:r>
      <w:r w:rsidR="00B34DD2" w:rsidRPr="000B7249">
        <w:rPr>
          <w:lang w:val="en-IE"/>
        </w:rPr>
        <w:t>s.  To this end</w:t>
      </w:r>
      <w:r w:rsidR="0057703F" w:rsidRPr="000B7249">
        <w:rPr>
          <w:lang w:val="en-IE"/>
        </w:rPr>
        <w:t>,</w:t>
      </w:r>
      <w:r w:rsidR="00B34DD2" w:rsidRPr="000B7249">
        <w:rPr>
          <w:lang w:val="en-IE"/>
        </w:rPr>
        <w:t xml:space="preserve"> you are required to confirm the following by completing the self-declaration contained in </w:t>
      </w:r>
      <w:r w:rsidRPr="000B7249">
        <w:rPr>
          <w:lang w:val="en-IE"/>
        </w:rPr>
        <w:t xml:space="preserve">the </w:t>
      </w:r>
      <w:r w:rsidR="0047753E" w:rsidRPr="000B7249">
        <w:rPr>
          <w:lang w:val="en-IE"/>
        </w:rPr>
        <w:t xml:space="preserve">separate </w:t>
      </w:r>
      <w:r w:rsidRPr="000B7249">
        <w:rPr>
          <w:lang w:val="en-IE"/>
        </w:rPr>
        <w:t xml:space="preserve">Quotation Response Document (QRD). </w:t>
      </w:r>
    </w:p>
    <w:p w14:paraId="773DF862" w14:textId="3F37FC1E" w:rsidR="00232274" w:rsidRPr="000B7249" w:rsidRDefault="00232274" w:rsidP="00B11249">
      <w:pPr>
        <w:pStyle w:val="ListParagraph"/>
        <w:numPr>
          <w:ilvl w:val="0"/>
          <w:numId w:val="1"/>
        </w:numPr>
        <w:rPr>
          <w:lang w:val="en-IE"/>
        </w:rPr>
      </w:pPr>
      <w:r w:rsidRPr="000B7249">
        <w:rPr>
          <w:lang w:val="en-IE"/>
        </w:rPr>
        <w:t xml:space="preserve">General </w:t>
      </w:r>
      <w:r w:rsidR="00BF38CF" w:rsidRPr="000B7249">
        <w:rPr>
          <w:lang w:val="en-IE"/>
        </w:rPr>
        <w:t>economic operator</w:t>
      </w:r>
      <w:r w:rsidRPr="000B7249">
        <w:rPr>
          <w:lang w:val="en-IE"/>
        </w:rPr>
        <w:t xml:space="preserve"> information. </w:t>
      </w:r>
    </w:p>
    <w:p w14:paraId="79F17689" w14:textId="77777777" w:rsidR="00B34DD2" w:rsidRPr="000B7249" w:rsidRDefault="00B34DD2" w:rsidP="00B11249">
      <w:pPr>
        <w:pStyle w:val="ListParagraph"/>
        <w:numPr>
          <w:ilvl w:val="0"/>
          <w:numId w:val="1"/>
        </w:numPr>
        <w:rPr>
          <w:lang w:val="en-IE"/>
        </w:rPr>
      </w:pPr>
      <w:r w:rsidRPr="000B7249">
        <w:rPr>
          <w:lang w:val="en-IE"/>
        </w:rPr>
        <w:t xml:space="preserve">Confirmation of tax compliance. </w:t>
      </w:r>
    </w:p>
    <w:p w14:paraId="3F5D60E1" w14:textId="09602A86" w:rsidR="00B34DD2" w:rsidRPr="000B7249" w:rsidRDefault="00B34DD2" w:rsidP="00B11249">
      <w:pPr>
        <w:pStyle w:val="ListParagraph"/>
        <w:numPr>
          <w:ilvl w:val="0"/>
          <w:numId w:val="1"/>
        </w:numPr>
        <w:rPr>
          <w:lang w:val="en-IE"/>
        </w:rPr>
      </w:pPr>
      <w:r w:rsidRPr="000B7249">
        <w:rPr>
          <w:lang w:val="en-IE"/>
        </w:rPr>
        <w:t xml:space="preserve">Confirmation that the </w:t>
      </w:r>
      <w:r w:rsidR="00BF38CF" w:rsidRPr="000B7249">
        <w:rPr>
          <w:lang w:val="en-IE"/>
        </w:rPr>
        <w:t>economic operator</w:t>
      </w:r>
      <w:r w:rsidRPr="000B7249">
        <w:rPr>
          <w:lang w:val="en-IE"/>
        </w:rPr>
        <w:t xml:space="preserve"> is appropriately insured. </w:t>
      </w:r>
    </w:p>
    <w:p w14:paraId="318831AF" w14:textId="065F2480" w:rsidR="00B34DD2" w:rsidRDefault="00B34DD2" w:rsidP="00B11249">
      <w:pPr>
        <w:pStyle w:val="ListParagraph"/>
        <w:numPr>
          <w:ilvl w:val="0"/>
          <w:numId w:val="1"/>
        </w:numPr>
        <w:rPr>
          <w:lang w:val="en-IE"/>
        </w:rPr>
      </w:pPr>
      <w:r w:rsidRPr="000B7249">
        <w:rPr>
          <w:lang w:val="en-IE"/>
        </w:rPr>
        <w:t>Confirmation</w:t>
      </w:r>
      <w:r w:rsidR="00232274" w:rsidRPr="000B7249">
        <w:rPr>
          <w:lang w:val="en-IE"/>
        </w:rPr>
        <w:t xml:space="preserve"> via declaration</w:t>
      </w:r>
      <w:r w:rsidRPr="000B7249">
        <w:rPr>
          <w:lang w:val="en-IE"/>
        </w:rPr>
        <w:t xml:space="preserve"> that the </w:t>
      </w:r>
      <w:r w:rsidR="00BF38CF" w:rsidRPr="000B7249">
        <w:rPr>
          <w:lang w:val="en-IE"/>
        </w:rPr>
        <w:t>economic operator</w:t>
      </w:r>
      <w:r w:rsidRPr="000B7249">
        <w:rPr>
          <w:lang w:val="en-IE"/>
        </w:rPr>
        <w:t xml:space="preserve"> is not bankrupt, guilty of corruption, fraud, money laundering, membership of a criminal organisation</w:t>
      </w:r>
      <w:r w:rsidR="00AA1CCD" w:rsidRPr="000B7249">
        <w:rPr>
          <w:lang w:val="en-IE"/>
        </w:rPr>
        <w:t>, not involved in child labour</w:t>
      </w:r>
      <w:r w:rsidRPr="000B7249">
        <w:rPr>
          <w:lang w:val="en-IE"/>
        </w:rPr>
        <w:t xml:space="preserve"> </w:t>
      </w:r>
      <w:r w:rsidR="00AA1CCD" w:rsidRPr="000B7249">
        <w:rPr>
          <w:lang w:val="en-IE"/>
        </w:rPr>
        <w:t xml:space="preserve">and/or human trafficking </w:t>
      </w:r>
      <w:r w:rsidRPr="000B7249">
        <w:rPr>
          <w:lang w:val="en-IE"/>
        </w:rPr>
        <w:t xml:space="preserve">and is fully compliant with all </w:t>
      </w:r>
      <w:r w:rsidR="00F014E3" w:rsidRPr="000B7249">
        <w:rPr>
          <w:lang w:val="en-IE"/>
        </w:rPr>
        <w:t xml:space="preserve">its </w:t>
      </w:r>
      <w:r w:rsidRPr="000B7249">
        <w:rPr>
          <w:lang w:val="en-IE"/>
        </w:rPr>
        <w:t xml:space="preserve">statutory obligations.   </w:t>
      </w:r>
    </w:p>
    <w:p w14:paraId="41A908EC" w14:textId="77777777" w:rsidR="00051079" w:rsidRPr="000B7249" w:rsidRDefault="00051079" w:rsidP="00051079">
      <w:pPr>
        <w:pStyle w:val="ListParagraph"/>
        <w:rPr>
          <w:lang w:val="en-IE"/>
        </w:rPr>
      </w:pPr>
    </w:p>
    <w:p w14:paraId="5E06BB8C" w14:textId="5E9F0187" w:rsidR="0057703F" w:rsidRPr="00FA0D08" w:rsidRDefault="00B34DD2" w:rsidP="00FA0D08">
      <w:pPr>
        <w:pStyle w:val="Heading2"/>
        <w:jc w:val="both"/>
      </w:pPr>
      <w:bookmarkStart w:id="40" w:name="_Toc171227907"/>
      <w:bookmarkStart w:id="41" w:name="_Toc168998881"/>
      <w:bookmarkStart w:id="42" w:name="_Toc168110468"/>
      <w:bookmarkStart w:id="43" w:name="_Toc72957327"/>
      <w:r w:rsidRPr="000B7249">
        <w:t>Award Criteria</w:t>
      </w:r>
      <w:bookmarkEnd w:id="40"/>
      <w:bookmarkEnd w:id="41"/>
      <w:bookmarkEnd w:id="42"/>
      <w:bookmarkEnd w:id="43"/>
    </w:p>
    <w:p w14:paraId="3A549BCE" w14:textId="1C8DB809" w:rsidR="00377F0F" w:rsidRDefault="00377F0F" w:rsidP="00B11249">
      <w:pPr>
        <w:pStyle w:val="BodyTextIndent3"/>
        <w:spacing w:before="0"/>
        <w:ind w:left="0"/>
        <w:rPr>
          <w:rFonts w:eastAsiaTheme="minorEastAsia"/>
          <w:b/>
          <w:bCs/>
          <w:color w:val="auto"/>
          <w:sz w:val="22"/>
          <w:szCs w:val="22"/>
          <w:lang w:eastAsia="ja-JP"/>
        </w:rPr>
      </w:pPr>
      <w:r w:rsidRPr="00377F0F">
        <w:rPr>
          <w:rFonts w:eastAsiaTheme="minorEastAsia"/>
          <w:b/>
          <w:bCs/>
          <w:color w:val="auto"/>
          <w:sz w:val="22"/>
          <w:szCs w:val="22"/>
          <w:lang w:eastAsia="ja-JP"/>
        </w:rPr>
        <w:t>Please note that the maximum marks available is 10,000.</w:t>
      </w:r>
    </w:p>
    <w:p w14:paraId="2D39D5E7" w14:textId="77777777" w:rsidR="009C40BA" w:rsidRDefault="009C40BA" w:rsidP="00B11249">
      <w:pPr>
        <w:spacing w:before="0" w:after="0" w:line="240" w:lineRule="auto"/>
      </w:pPr>
    </w:p>
    <w:tbl>
      <w:tblPr>
        <w:tblStyle w:val="GridTable4-Ac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95"/>
        <w:gridCol w:w="1559"/>
        <w:gridCol w:w="2410"/>
        <w:gridCol w:w="2925"/>
      </w:tblGrid>
      <w:tr w:rsidR="002C4B84" w:rsidRPr="00CB63EF" w14:paraId="4A4324BF" w14:textId="77777777" w:rsidTr="002C4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1DE275" w14:textId="77777777" w:rsidR="00855B3A" w:rsidRPr="00CB63EF" w:rsidRDefault="00855B3A" w:rsidP="002C4B84">
            <w:pPr>
              <w:jc w:val="left"/>
              <w:rPr>
                <w:bCs w:val="0"/>
              </w:rPr>
            </w:pPr>
            <w:bookmarkStart w:id="44" w:name="_Hlk480561427"/>
            <w:r w:rsidRPr="00CB63EF">
              <w:t>Criterion A</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8568EF" w14:textId="77777777" w:rsidR="00855B3A" w:rsidRPr="00CB63EF" w:rsidRDefault="00855B3A" w:rsidP="002C4B84">
            <w:pPr>
              <w:jc w:val="left"/>
              <w:cnfStyle w:val="100000000000" w:firstRow="1" w:lastRow="0" w:firstColumn="0" w:lastColumn="0" w:oddVBand="0" w:evenVBand="0" w:oddHBand="0" w:evenHBand="0" w:firstRowFirstColumn="0" w:firstRowLastColumn="0" w:lastRowFirstColumn="0" w:lastRowLastColumn="0"/>
              <w:rPr>
                <w:bCs w:val="0"/>
              </w:rPr>
            </w:pPr>
            <w:r w:rsidRPr="00CB63EF">
              <w:t xml:space="preserve">Weighting </w:t>
            </w:r>
          </w:p>
        </w:tc>
        <w:tc>
          <w:tcPr>
            <w:tcW w:w="24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B178F22" w14:textId="77777777" w:rsidR="00855B3A" w:rsidRPr="00CB63EF" w:rsidRDefault="00855B3A" w:rsidP="002C4B84">
            <w:pPr>
              <w:jc w:val="left"/>
              <w:cnfStyle w:val="100000000000" w:firstRow="1" w:lastRow="0" w:firstColumn="0" w:lastColumn="0" w:oddVBand="0" w:evenVBand="0" w:oddHBand="0" w:evenHBand="0" w:firstRowFirstColumn="0" w:firstRowLastColumn="0" w:lastRowFirstColumn="0" w:lastRowLastColumn="0"/>
              <w:rPr>
                <w:bCs w:val="0"/>
              </w:rPr>
            </w:pPr>
            <w:r w:rsidRPr="00CB63EF">
              <w:t>Maximum Marks</w:t>
            </w:r>
          </w:p>
        </w:tc>
        <w:tc>
          <w:tcPr>
            <w:tcW w:w="292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DB045D" w14:textId="77777777" w:rsidR="00855B3A" w:rsidRPr="00CB63EF" w:rsidRDefault="00855B3A" w:rsidP="002C4B84">
            <w:pPr>
              <w:jc w:val="left"/>
              <w:cnfStyle w:val="100000000000" w:firstRow="1" w:lastRow="0" w:firstColumn="0" w:lastColumn="0" w:oddVBand="0" w:evenVBand="0" w:oddHBand="0" w:evenHBand="0" w:firstRowFirstColumn="0" w:firstRowLastColumn="0" w:lastRowFirstColumn="0" w:lastRowLastColumn="0"/>
            </w:pPr>
            <w:r w:rsidRPr="00CB63EF">
              <w:t>Minimum Marks Required</w:t>
            </w:r>
          </w:p>
        </w:tc>
      </w:tr>
      <w:tr w:rsidR="002C4B84" w:rsidRPr="00CB63EF" w14:paraId="1182EB72" w14:textId="77777777" w:rsidTr="002C4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vMerge/>
            <w:shd w:val="clear" w:color="auto" w:fill="808080" w:themeFill="background1" w:themeFillShade="80"/>
          </w:tcPr>
          <w:p w14:paraId="0CE59FBD" w14:textId="77777777" w:rsidR="00855B3A" w:rsidRPr="00CB63EF" w:rsidRDefault="00855B3A" w:rsidP="001F4617"/>
        </w:tc>
        <w:tc>
          <w:tcPr>
            <w:tcW w:w="1559" w:type="dxa"/>
            <w:shd w:val="clear" w:color="auto" w:fill="D9D9D9" w:themeFill="background1" w:themeFillShade="D9"/>
          </w:tcPr>
          <w:p w14:paraId="602DD2CD" w14:textId="55A72883" w:rsidR="00855B3A" w:rsidRPr="00CB63EF" w:rsidRDefault="00051079" w:rsidP="001F4617">
            <w:pPr>
              <w:cnfStyle w:val="000000100000" w:firstRow="0" w:lastRow="0" w:firstColumn="0" w:lastColumn="0" w:oddVBand="0" w:evenVBand="0" w:oddHBand="1" w:evenHBand="0" w:firstRowFirstColumn="0" w:firstRowLastColumn="0" w:lastRowFirstColumn="0" w:lastRowLastColumn="0"/>
            </w:pPr>
            <w:r>
              <w:t>5</w:t>
            </w:r>
            <w:r w:rsidR="00855B3A" w:rsidRPr="00584ED0">
              <w:t>0</w:t>
            </w:r>
            <w:r w:rsidR="00855B3A" w:rsidRPr="00CB63EF">
              <w:t>%</w:t>
            </w:r>
          </w:p>
        </w:tc>
        <w:tc>
          <w:tcPr>
            <w:tcW w:w="2410" w:type="dxa"/>
            <w:shd w:val="clear" w:color="auto" w:fill="D9D9D9" w:themeFill="background1" w:themeFillShade="D9"/>
          </w:tcPr>
          <w:p w14:paraId="58FCE4B4" w14:textId="41394DD3" w:rsidR="00855B3A" w:rsidRPr="00CB63EF" w:rsidRDefault="00051079" w:rsidP="001F4617">
            <w:pPr>
              <w:cnfStyle w:val="000000100000" w:firstRow="0" w:lastRow="0" w:firstColumn="0" w:lastColumn="0" w:oddVBand="0" w:evenVBand="0" w:oddHBand="1" w:evenHBand="0" w:firstRowFirstColumn="0" w:firstRowLastColumn="0" w:lastRowFirstColumn="0" w:lastRowLastColumn="0"/>
            </w:pPr>
            <w:r>
              <w:t>5</w:t>
            </w:r>
            <w:r w:rsidR="00855B3A" w:rsidRPr="00CC2CD5">
              <w:t>00</w:t>
            </w:r>
            <w:r>
              <w:t>0</w:t>
            </w:r>
          </w:p>
        </w:tc>
        <w:tc>
          <w:tcPr>
            <w:tcW w:w="2925" w:type="dxa"/>
            <w:shd w:val="clear" w:color="auto" w:fill="D9D9D9" w:themeFill="background1" w:themeFillShade="D9"/>
          </w:tcPr>
          <w:p w14:paraId="78DEAC3F" w14:textId="646C09A2" w:rsidR="00855B3A" w:rsidRPr="00CB63EF" w:rsidRDefault="00051079" w:rsidP="001F4617">
            <w:pPr>
              <w:cnfStyle w:val="000000100000" w:firstRow="0" w:lastRow="0" w:firstColumn="0" w:lastColumn="0" w:oddVBand="0" w:evenVBand="0" w:oddHBand="1" w:evenHBand="0" w:firstRowFirstColumn="0" w:firstRowLastColumn="0" w:lastRowFirstColumn="0" w:lastRowLastColumn="0"/>
            </w:pPr>
            <w:r>
              <w:t>25</w:t>
            </w:r>
            <w:r w:rsidR="00855B3A" w:rsidRPr="00CC2CD5">
              <w:t>00</w:t>
            </w:r>
          </w:p>
        </w:tc>
      </w:tr>
      <w:bookmarkEnd w:id="44"/>
      <w:tr w:rsidR="00855B3A" w:rsidRPr="00CB63EF" w14:paraId="1AA25A7B" w14:textId="77777777" w:rsidTr="001F4617">
        <w:tc>
          <w:tcPr>
            <w:cnfStyle w:val="001000000000" w:firstRow="0" w:lastRow="0" w:firstColumn="1" w:lastColumn="0" w:oddVBand="0" w:evenVBand="0" w:oddHBand="0" w:evenHBand="0" w:firstRowFirstColumn="0" w:firstRowLastColumn="0" w:lastRowFirstColumn="0" w:lastRowLastColumn="0"/>
            <w:tcW w:w="1432" w:type="dxa"/>
          </w:tcPr>
          <w:p w14:paraId="668F1FF2" w14:textId="77777777" w:rsidR="00855B3A" w:rsidRPr="00CB63EF" w:rsidRDefault="00855B3A" w:rsidP="001F4617">
            <w:pPr>
              <w:rPr>
                <w:b w:val="0"/>
                <w:bCs w:val="0"/>
              </w:rPr>
            </w:pPr>
            <w:r w:rsidRPr="00CB63EF">
              <w:t>Title</w:t>
            </w:r>
          </w:p>
        </w:tc>
        <w:tc>
          <w:tcPr>
            <w:tcW w:w="7589" w:type="dxa"/>
            <w:gridSpan w:val="4"/>
          </w:tcPr>
          <w:p w14:paraId="1BC97536" w14:textId="77777777" w:rsidR="00855B3A" w:rsidRPr="00CB63EF" w:rsidRDefault="00855B3A" w:rsidP="001F4617">
            <w:pPr>
              <w:cnfStyle w:val="000000000000" w:firstRow="0" w:lastRow="0" w:firstColumn="0" w:lastColumn="0" w:oddVBand="0" w:evenVBand="0" w:oddHBand="0" w:evenHBand="0" w:firstRowFirstColumn="0" w:firstRowLastColumn="0" w:lastRowFirstColumn="0" w:lastRowLastColumn="0"/>
              <w:rPr>
                <w:color w:val="FF0000"/>
              </w:rPr>
            </w:pPr>
            <w:r w:rsidRPr="00703D03">
              <w:t xml:space="preserve">Qualifications </w:t>
            </w:r>
          </w:p>
        </w:tc>
      </w:tr>
      <w:tr w:rsidR="00855B3A" w:rsidRPr="00CB63EF" w14:paraId="77CF9EFF" w14:textId="77777777" w:rsidTr="001F4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shd w:val="clear" w:color="auto" w:fill="auto"/>
          </w:tcPr>
          <w:p w14:paraId="6175ED8F" w14:textId="77777777" w:rsidR="00855B3A" w:rsidRPr="00CB63EF" w:rsidRDefault="00855B3A" w:rsidP="001F4617">
            <w:pPr>
              <w:rPr>
                <w:b w:val="0"/>
                <w:bCs w:val="0"/>
              </w:rPr>
            </w:pPr>
            <w:r w:rsidRPr="00CB63EF">
              <w:t>Description</w:t>
            </w:r>
          </w:p>
        </w:tc>
        <w:tc>
          <w:tcPr>
            <w:tcW w:w="7589" w:type="dxa"/>
            <w:gridSpan w:val="4"/>
            <w:shd w:val="clear" w:color="auto" w:fill="auto"/>
          </w:tcPr>
          <w:p w14:paraId="04276EBB" w14:textId="05BA3C9F" w:rsidR="00855B3A" w:rsidRPr="00051079" w:rsidRDefault="00855B3A" w:rsidP="001F4617">
            <w:pPr>
              <w:cnfStyle w:val="000000100000" w:firstRow="0" w:lastRow="0" w:firstColumn="0" w:lastColumn="0" w:oddVBand="0" w:evenVBand="0" w:oddHBand="1" w:evenHBand="0" w:firstRowFirstColumn="0" w:firstRowLastColumn="0" w:lastRowFirstColumn="0" w:lastRowLastColumn="0"/>
              <w:rPr>
                <w:color w:val="auto"/>
              </w:rPr>
            </w:pPr>
            <w:r w:rsidRPr="00051079">
              <w:rPr>
                <w:color w:val="auto"/>
              </w:rPr>
              <w:t xml:space="preserve">Provide a CV (no longer than 2 pages) for each personnel assigned to carry out work, detailing qualifications relevant to the provision of </w:t>
            </w:r>
            <w:r w:rsidR="00864532" w:rsidRPr="00051079">
              <w:rPr>
                <w:color w:val="auto"/>
              </w:rPr>
              <w:t>business advice</w:t>
            </w:r>
            <w:r w:rsidRPr="00051079">
              <w:rPr>
                <w:color w:val="auto"/>
              </w:rPr>
              <w:t xml:space="preserve"> and mentoring services.</w:t>
            </w:r>
          </w:p>
        </w:tc>
      </w:tr>
      <w:tr w:rsidR="002C4B84" w:rsidRPr="00CB63EF" w14:paraId="31E7F2CC" w14:textId="77777777" w:rsidTr="002C4B84">
        <w:tc>
          <w:tcPr>
            <w:cnfStyle w:val="001000000000" w:firstRow="0" w:lastRow="0" w:firstColumn="1" w:lastColumn="0" w:oddVBand="0" w:evenVBand="0" w:oddHBand="0" w:evenHBand="0" w:firstRowFirstColumn="0" w:firstRowLastColumn="0" w:lastRowFirstColumn="0" w:lastRowLastColumn="0"/>
            <w:tcW w:w="2127" w:type="dxa"/>
            <w:gridSpan w:val="2"/>
            <w:vMerge w:val="restart"/>
            <w:shd w:val="clear" w:color="auto" w:fill="808080" w:themeFill="background1" w:themeFillShade="80"/>
          </w:tcPr>
          <w:p w14:paraId="73139D23" w14:textId="77777777" w:rsidR="00855B3A" w:rsidRPr="00CB63EF" w:rsidRDefault="00855B3A" w:rsidP="001F4617">
            <w:pPr>
              <w:rPr>
                <w:bCs w:val="0"/>
                <w:color w:val="FFFFFF" w:themeColor="background1"/>
              </w:rPr>
            </w:pPr>
            <w:r w:rsidRPr="00CB63EF">
              <w:rPr>
                <w:color w:val="FFFFFF" w:themeColor="background1"/>
              </w:rPr>
              <w:t xml:space="preserve">Criterion </w:t>
            </w:r>
            <w:r>
              <w:rPr>
                <w:color w:val="FFFFFF" w:themeColor="background1"/>
              </w:rPr>
              <w:t>B</w:t>
            </w:r>
          </w:p>
        </w:tc>
        <w:tc>
          <w:tcPr>
            <w:tcW w:w="1559" w:type="dxa"/>
            <w:shd w:val="clear" w:color="auto" w:fill="808080" w:themeFill="background1" w:themeFillShade="80"/>
          </w:tcPr>
          <w:p w14:paraId="52803556" w14:textId="77777777" w:rsidR="00855B3A" w:rsidRPr="00CB63EF" w:rsidRDefault="00855B3A" w:rsidP="001F4617">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CB63EF">
              <w:rPr>
                <w:b/>
                <w:color w:val="FFFFFF" w:themeColor="background1"/>
              </w:rPr>
              <w:t xml:space="preserve">Weighting </w:t>
            </w:r>
          </w:p>
        </w:tc>
        <w:tc>
          <w:tcPr>
            <w:tcW w:w="2410" w:type="dxa"/>
            <w:shd w:val="clear" w:color="auto" w:fill="808080" w:themeFill="background1" w:themeFillShade="80"/>
          </w:tcPr>
          <w:p w14:paraId="1B8AF431" w14:textId="77777777" w:rsidR="00855B3A" w:rsidRPr="00CB63EF" w:rsidRDefault="00855B3A" w:rsidP="001F4617">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CB63EF">
              <w:rPr>
                <w:b/>
                <w:color w:val="FFFFFF" w:themeColor="background1"/>
              </w:rPr>
              <w:t>Maximum Marks</w:t>
            </w:r>
          </w:p>
        </w:tc>
        <w:tc>
          <w:tcPr>
            <w:tcW w:w="2925" w:type="dxa"/>
            <w:shd w:val="clear" w:color="auto" w:fill="808080" w:themeFill="background1" w:themeFillShade="80"/>
          </w:tcPr>
          <w:p w14:paraId="3CC6CE5F" w14:textId="77777777" w:rsidR="00855B3A" w:rsidRPr="00CB63EF" w:rsidRDefault="00855B3A" w:rsidP="001F4617">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CB63EF">
              <w:rPr>
                <w:b/>
                <w:color w:val="FFFFFF" w:themeColor="background1"/>
              </w:rPr>
              <w:t>Minimum Marks – 50%</w:t>
            </w:r>
          </w:p>
        </w:tc>
      </w:tr>
      <w:tr w:rsidR="002C4B84" w:rsidRPr="00CB63EF" w14:paraId="342A5648" w14:textId="77777777" w:rsidTr="002C4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vMerge/>
            <w:shd w:val="clear" w:color="auto" w:fill="808080" w:themeFill="background1" w:themeFillShade="80"/>
          </w:tcPr>
          <w:p w14:paraId="2A5A3F3F" w14:textId="77777777" w:rsidR="00855B3A" w:rsidRPr="00CB63EF" w:rsidRDefault="00855B3A" w:rsidP="001F4617">
            <w:pPr>
              <w:rPr>
                <w:b w:val="0"/>
                <w:color w:val="FFFFFF" w:themeColor="background1"/>
              </w:rPr>
            </w:pPr>
          </w:p>
        </w:tc>
        <w:tc>
          <w:tcPr>
            <w:tcW w:w="1559" w:type="dxa"/>
            <w:shd w:val="clear" w:color="auto" w:fill="D9D9D9" w:themeFill="background1" w:themeFillShade="D9"/>
          </w:tcPr>
          <w:p w14:paraId="63392422" w14:textId="77777777" w:rsidR="00855B3A" w:rsidRPr="00CB63EF" w:rsidRDefault="00855B3A" w:rsidP="001F4617">
            <w:pPr>
              <w:cnfStyle w:val="000000100000" w:firstRow="0" w:lastRow="0" w:firstColumn="0" w:lastColumn="0" w:oddVBand="0" w:evenVBand="0" w:oddHBand="1" w:evenHBand="0" w:firstRowFirstColumn="0" w:firstRowLastColumn="0" w:lastRowFirstColumn="0" w:lastRowLastColumn="0"/>
              <w:rPr>
                <w:color w:val="000000" w:themeColor="text1"/>
              </w:rPr>
            </w:pPr>
            <w:r>
              <w:t>50</w:t>
            </w:r>
            <w:r w:rsidRPr="00CB63EF">
              <w:t>%</w:t>
            </w:r>
          </w:p>
        </w:tc>
        <w:tc>
          <w:tcPr>
            <w:tcW w:w="2410" w:type="dxa"/>
            <w:shd w:val="clear" w:color="auto" w:fill="D9D9D9" w:themeFill="background1" w:themeFillShade="D9"/>
          </w:tcPr>
          <w:p w14:paraId="222C1ACC" w14:textId="77777777" w:rsidR="00855B3A" w:rsidRPr="00CC2CD5" w:rsidRDefault="00855B3A" w:rsidP="001F4617">
            <w:pPr>
              <w:cnfStyle w:val="000000100000" w:firstRow="0" w:lastRow="0" w:firstColumn="0" w:lastColumn="0" w:oddVBand="0" w:evenVBand="0" w:oddHBand="1" w:evenHBand="0" w:firstRowFirstColumn="0" w:firstRowLastColumn="0" w:lastRowFirstColumn="0" w:lastRowLastColumn="0"/>
            </w:pPr>
            <w:r>
              <w:t>50</w:t>
            </w:r>
            <w:r w:rsidRPr="00CC2CD5">
              <w:t>00</w:t>
            </w:r>
          </w:p>
        </w:tc>
        <w:tc>
          <w:tcPr>
            <w:tcW w:w="2925" w:type="dxa"/>
            <w:shd w:val="clear" w:color="auto" w:fill="D9D9D9" w:themeFill="background1" w:themeFillShade="D9"/>
          </w:tcPr>
          <w:p w14:paraId="110CD3E9" w14:textId="77777777" w:rsidR="00855B3A" w:rsidRPr="00CC2CD5" w:rsidRDefault="00855B3A" w:rsidP="001F4617">
            <w:pPr>
              <w:cnfStyle w:val="000000100000" w:firstRow="0" w:lastRow="0" w:firstColumn="0" w:lastColumn="0" w:oddVBand="0" w:evenVBand="0" w:oddHBand="1" w:evenHBand="0" w:firstRowFirstColumn="0" w:firstRowLastColumn="0" w:lastRowFirstColumn="0" w:lastRowLastColumn="0"/>
            </w:pPr>
            <w:r>
              <w:t>2500</w:t>
            </w:r>
          </w:p>
        </w:tc>
      </w:tr>
      <w:tr w:rsidR="00855B3A" w:rsidRPr="00CB63EF" w14:paraId="40D18BA4" w14:textId="77777777" w:rsidTr="001F4617">
        <w:tc>
          <w:tcPr>
            <w:cnfStyle w:val="001000000000" w:firstRow="0" w:lastRow="0" w:firstColumn="1" w:lastColumn="0" w:oddVBand="0" w:evenVBand="0" w:oddHBand="0" w:evenHBand="0" w:firstRowFirstColumn="0" w:firstRowLastColumn="0" w:lastRowFirstColumn="0" w:lastRowLastColumn="0"/>
            <w:tcW w:w="1432" w:type="dxa"/>
          </w:tcPr>
          <w:p w14:paraId="573CCA51" w14:textId="77777777" w:rsidR="00855B3A" w:rsidRPr="00CB63EF" w:rsidRDefault="00855B3A" w:rsidP="001F4617">
            <w:pPr>
              <w:rPr>
                <w:b w:val="0"/>
                <w:bCs w:val="0"/>
              </w:rPr>
            </w:pPr>
            <w:r w:rsidRPr="00CB63EF">
              <w:lastRenderedPageBreak/>
              <w:t>Title</w:t>
            </w:r>
          </w:p>
        </w:tc>
        <w:tc>
          <w:tcPr>
            <w:tcW w:w="7589" w:type="dxa"/>
            <w:gridSpan w:val="4"/>
          </w:tcPr>
          <w:p w14:paraId="522A6E2D" w14:textId="77777777" w:rsidR="00855B3A" w:rsidRPr="00703D03" w:rsidRDefault="00855B3A" w:rsidP="001F4617">
            <w:pPr>
              <w:cnfStyle w:val="000000000000" w:firstRow="0" w:lastRow="0" w:firstColumn="0" w:lastColumn="0" w:oddVBand="0" w:evenVBand="0" w:oddHBand="0" w:evenHBand="0" w:firstRowFirstColumn="0" w:firstRowLastColumn="0" w:lastRowFirstColumn="0" w:lastRowLastColumn="0"/>
            </w:pPr>
            <w:r>
              <w:t>Experience</w:t>
            </w:r>
          </w:p>
        </w:tc>
      </w:tr>
      <w:tr w:rsidR="00855B3A" w:rsidRPr="00CB63EF" w14:paraId="7AD2F49F" w14:textId="77777777" w:rsidTr="001F4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shd w:val="clear" w:color="auto" w:fill="auto"/>
          </w:tcPr>
          <w:p w14:paraId="41E6DD82" w14:textId="77777777" w:rsidR="00855B3A" w:rsidRPr="00CB63EF" w:rsidRDefault="00855B3A" w:rsidP="001F4617">
            <w:pPr>
              <w:rPr>
                <w:b w:val="0"/>
                <w:bCs w:val="0"/>
              </w:rPr>
            </w:pPr>
            <w:r w:rsidRPr="00CB63EF">
              <w:t>Description</w:t>
            </w:r>
          </w:p>
        </w:tc>
        <w:tc>
          <w:tcPr>
            <w:tcW w:w="7589" w:type="dxa"/>
            <w:gridSpan w:val="4"/>
            <w:shd w:val="clear" w:color="auto" w:fill="auto"/>
          </w:tcPr>
          <w:p w14:paraId="4DB54449" w14:textId="77777777" w:rsidR="00855B3A" w:rsidRPr="007A7376" w:rsidRDefault="00855B3A" w:rsidP="00855B3A">
            <w:pPr>
              <w:cnfStyle w:val="000000100000" w:firstRow="0" w:lastRow="0" w:firstColumn="0" w:lastColumn="0" w:oddVBand="0" w:evenVBand="0" w:oddHBand="1" w:evenHBand="0" w:firstRowFirstColumn="0" w:firstRowLastColumn="0" w:lastRowFirstColumn="0" w:lastRowLastColumn="0"/>
            </w:pPr>
            <w:r>
              <w:t>T</w:t>
            </w:r>
            <w:r w:rsidRPr="007A7376">
              <w:t>enderers should provide comprehensive information on their areas of expertise</w:t>
            </w:r>
            <w:r>
              <w:t xml:space="preserve"> </w:t>
            </w:r>
            <w:r w:rsidRPr="00051079">
              <w:rPr>
                <w:color w:val="auto"/>
              </w:rPr>
              <w:t xml:space="preserve">specific to the food and beverage industry. </w:t>
            </w:r>
          </w:p>
          <w:p w14:paraId="3E098806" w14:textId="77777777" w:rsidR="00855B3A" w:rsidRPr="007A7376" w:rsidRDefault="00855B3A" w:rsidP="00855B3A">
            <w:pPr>
              <w:cnfStyle w:val="000000100000" w:firstRow="0" w:lastRow="0" w:firstColumn="0" w:lastColumn="0" w:oddVBand="0" w:evenVBand="0" w:oddHBand="1" w:evenHBand="0" w:firstRowFirstColumn="0" w:firstRowLastColumn="0" w:lastRowFirstColumn="0" w:lastRowLastColumn="0"/>
            </w:pPr>
            <w:r w:rsidRPr="007A7376">
              <w:t>This should clearly demonstrate their level of expertise associated with the specific competencies they have identified</w:t>
            </w:r>
            <w:r>
              <w:t xml:space="preserve"> and their industry e</w:t>
            </w:r>
            <w:r w:rsidRPr="00703D03">
              <w:t>xperiences</w:t>
            </w:r>
            <w:r>
              <w:t xml:space="preserve"> to businesses with up to 50 employees.</w:t>
            </w:r>
          </w:p>
          <w:p w14:paraId="58421957" w14:textId="0EB4306A" w:rsidR="00855B3A" w:rsidRPr="007B190B" w:rsidRDefault="00855B3A" w:rsidP="00855B3A">
            <w:pPr>
              <w:cnfStyle w:val="000000100000" w:firstRow="0" w:lastRow="0" w:firstColumn="0" w:lastColumn="0" w:oddVBand="0" w:evenVBand="0" w:oddHBand="1" w:evenHBand="0" w:firstRowFirstColumn="0" w:firstRowLastColumn="0" w:lastRowFirstColumn="0" w:lastRowLastColumn="0"/>
            </w:pPr>
            <w:r w:rsidRPr="007A7376">
              <w:t xml:space="preserve">Tenderers should provide information </w:t>
            </w:r>
            <w:r>
              <w:t>for each</w:t>
            </w:r>
            <w:r w:rsidRPr="007A7376">
              <w:t xml:space="preserve"> personnel</w:t>
            </w:r>
            <w:r>
              <w:t xml:space="preserve"> in their team</w:t>
            </w:r>
            <w:r w:rsidRPr="007A7376">
              <w:t xml:space="preserve"> assigned to carry out work being tendered</w:t>
            </w:r>
            <w:r>
              <w:t>, and their relevant experience.</w:t>
            </w:r>
          </w:p>
        </w:tc>
      </w:tr>
    </w:tbl>
    <w:p w14:paraId="63FB9945" w14:textId="5FD49A93" w:rsidR="00636F2C" w:rsidRDefault="00636F2C" w:rsidP="00B11249">
      <w:pPr>
        <w:pStyle w:val="Heading2"/>
        <w:jc w:val="both"/>
        <w:rPr>
          <w:rFonts w:eastAsia="Times New Roman"/>
        </w:rPr>
      </w:pPr>
      <w:bookmarkStart w:id="45" w:name="_Toc72957329"/>
      <w:r w:rsidRPr="007A7F38">
        <w:rPr>
          <w:rFonts w:eastAsia="Times New Roman"/>
          <w:sz w:val="22"/>
          <w:szCs w:val="22"/>
        </w:rPr>
        <w:t xml:space="preserve">Methodology </w:t>
      </w:r>
      <w:r w:rsidRPr="00636F2C">
        <w:rPr>
          <w:rFonts w:eastAsia="Times New Roman"/>
        </w:rPr>
        <w:t>for Calculating Scoring of Qualitative Criteria</w:t>
      </w:r>
      <w:bookmarkEnd w:id="45"/>
    </w:p>
    <w:p w14:paraId="7A3AE512" w14:textId="77777777" w:rsidR="00636F2C" w:rsidRDefault="00636F2C" w:rsidP="00B11249">
      <w:pPr>
        <w:spacing w:before="0" w:after="0" w:line="240" w:lineRule="auto"/>
        <w:rPr>
          <w:rFonts w:eastAsia="Times New Roman"/>
          <w:color w:val="auto"/>
          <w:lang w:val="en-IE"/>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72"/>
        <w:gridCol w:w="5986"/>
      </w:tblGrid>
      <w:tr w:rsidR="00636F2C" w:rsidRPr="00636F2C" w14:paraId="5E573D79" w14:textId="77777777" w:rsidTr="00C87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6105D36F" w14:textId="77777777" w:rsidR="00636F2C" w:rsidRPr="00636F2C" w:rsidRDefault="00636F2C" w:rsidP="00B11249">
            <w:pPr>
              <w:spacing w:before="0" w:after="0" w:line="253" w:lineRule="atLeast"/>
              <w:rPr>
                <w:color w:val="FFFFFF" w:themeColor="background1"/>
                <w:sz w:val="24"/>
                <w:lang w:eastAsia="en-GB"/>
              </w:rPr>
            </w:pPr>
            <w:r w:rsidRPr="00636F2C">
              <w:rPr>
                <w:color w:val="FFFFFF" w:themeColor="background1"/>
                <w:sz w:val="24"/>
                <w:lang w:eastAsia="en-GB"/>
              </w:rPr>
              <w:t>Score</w:t>
            </w:r>
          </w:p>
        </w:tc>
        <w:tc>
          <w:tcPr>
            <w:tcW w:w="1672"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78D215E"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Meaning</w:t>
            </w:r>
          </w:p>
        </w:tc>
        <w:tc>
          <w:tcPr>
            <w:tcW w:w="598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C45D709"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Interpretation</w:t>
            </w:r>
          </w:p>
        </w:tc>
      </w:tr>
      <w:tr w:rsidR="00636F2C" w:rsidRPr="00636F2C" w14:paraId="780D93A3"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53DE368E" w14:textId="77777777" w:rsidR="00636F2C" w:rsidRPr="00636F2C" w:rsidRDefault="00636F2C" w:rsidP="00B11249">
            <w:pPr>
              <w:spacing w:before="0" w:after="0" w:line="253" w:lineRule="atLeast"/>
              <w:rPr>
                <w:color w:val="auto"/>
                <w:lang w:eastAsia="en-GB"/>
              </w:rPr>
            </w:pPr>
            <w:r w:rsidRPr="00636F2C">
              <w:rPr>
                <w:color w:val="auto"/>
                <w:lang w:eastAsia="en-GB"/>
              </w:rPr>
              <w:t>90 – 100%</w:t>
            </w:r>
          </w:p>
        </w:tc>
        <w:tc>
          <w:tcPr>
            <w:tcW w:w="1672" w:type="dxa"/>
            <w:hideMark/>
          </w:tcPr>
          <w:p w14:paraId="0EDFB9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Outstanding   </w:t>
            </w:r>
          </w:p>
        </w:tc>
        <w:tc>
          <w:tcPr>
            <w:tcW w:w="5986" w:type="dxa"/>
            <w:hideMark/>
          </w:tcPr>
          <w:p w14:paraId="37CE15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comprehensive response demonstrating extensive understanding offering full assurance to client – fully supported with no reservations.</w:t>
            </w:r>
          </w:p>
        </w:tc>
      </w:tr>
      <w:tr w:rsidR="00636F2C" w:rsidRPr="00636F2C" w14:paraId="58073D10"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3BE5CFB2" w14:textId="77777777" w:rsidR="00636F2C" w:rsidRPr="00636F2C" w:rsidRDefault="00636F2C" w:rsidP="00B11249">
            <w:pPr>
              <w:spacing w:before="0" w:after="0" w:line="253" w:lineRule="atLeast"/>
              <w:rPr>
                <w:color w:val="auto"/>
                <w:lang w:eastAsia="en-GB"/>
              </w:rPr>
            </w:pPr>
            <w:r w:rsidRPr="00636F2C">
              <w:rPr>
                <w:color w:val="auto"/>
                <w:lang w:eastAsia="en-GB"/>
              </w:rPr>
              <w:t>80 – 89%</w:t>
            </w:r>
          </w:p>
        </w:tc>
        <w:tc>
          <w:tcPr>
            <w:tcW w:w="1672" w:type="dxa"/>
            <w:hideMark/>
          </w:tcPr>
          <w:p w14:paraId="7A5DC6B0"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Excellent        </w:t>
            </w:r>
          </w:p>
        </w:tc>
        <w:tc>
          <w:tcPr>
            <w:tcW w:w="5986" w:type="dxa"/>
            <w:hideMark/>
          </w:tcPr>
          <w:p w14:paraId="7A9C44C5"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An excellent response demonstrating excellent understanding offering assurance to client – strongly supported.</w:t>
            </w:r>
          </w:p>
        </w:tc>
      </w:tr>
      <w:tr w:rsidR="00636F2C" w:rsidRPr="00636F2C" w14:paraId="208A0FF8"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28BE86A0" w14:textId="77777777" w:rsidR="00636F2C" w:rsidRPr="00636F2C" w:rsidRDefault="00636F2C" w:rsidP="00B11249">
            <w:pPr>
              <w:spacing w:before="0" w:after="0" w:line="253" w:lineRule="atLeast"/>
              <w:rPr>
                <w:color w:val="auto"/>
                <w:lang w:eastAsia="en-GB"/>
              </w:rPr>
            </w:pPr>
            <w:r w:rsidRPr="00636F2C">
              <w:rPr>
                <w:color w:val="auto"/>
                <w:lang w:eastAsia="en-GB"/>
              </w:rPr>
              <w:t>70 – 79%</w:t>
            </w:r>
          </w:p>
        </w:tc>
        <w:tc>
          <w:tcPr>
            <w:tcW w:w="1672" w:type="dxa"/>
            <w:hideMark/>
          </w:tcPr>
          <w:p w14:paraId="303F6C9C"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Very good       </w:t>
            </w:r>
          </w:p>
        </w:tc>
        <w:tc>
          <w:tcPr>
            <w:tcW w:w="5986" w:type="dxa"/>
            <w:hideMark/>
          </w:tcPr>
          <w:p w14:paraId="0C36774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good response demonstrating very good understanding offering assurance to client – fully supported.</w:t>
            </w:r>
          </w:p>
        </w:tc>
      </w:tr>
      <w:tr w:rsidR="00636F2C" w:rsidRPr="00636F2C" w14:paraId="4EDE3D16"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6B9373A2" w14:textId="77777777" w:rsidR="00636F2C" w:rsidRPr="00636F2C" w:rsidRDefault="00636F2C" w:rsidP="00B11249">
            <w:pPr>
              <w:spacing w:before="0" w:after="0" w:line="253" w:lineRule="atLeast"/>
              <w:rPr>
                <w:color w:val="auto"/>
                <w:lang w:eastAsia="en-GB"/>
              </w:rPr>
            </w:pPr>
            <w:r w:rsidRPr="00636F2C">
              <w:rPr>
                <w:color w:val="auto"/>
                <w:lang w:eastAsia="en-GB"/>
              </w:rPr>
              <w:t>60 – 69%</w:t>
            </w:r>
          </w:p>
        </w:tc>
        <w:tc>
          <w:tcPr>
            <w:tcW w:w="1672" w:type="dxa"/>
            <w:hideMark/>
          </w:tcPr>
          <w:p w14:paraId="12C80631"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Good               </w:t>
            </w:r>
          </w:p>
        </w:tc>
        <w:tc>
          <w:tcPr>
            <w:tcW w:w="5986" w:type="dxa"/>
            <w:hideMark/>
          </w:tcPr>
          <w:p w14:paraId="1EA22E7D"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 good response demonstrating good understanding offering assurance to client – well supported.</w:t>
            </w:r>
          </w:p>
        </w:tc>
      </w:tr>
      <w:tr w:rsidR="00636F2C" w:rsidRPr="00636F2C" w14:paraId="17577D36"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3EDA605D" w14:textId="77777777" w:rsidR="00636F2C" w:rsidRPr="00636F2C" w:rsidRDefault="00636F2C" w:rsidP="00B11249">
            <w:pPr>
              <w:spacing w:before="0" w:after="0" w:line="253" w:lineRule="atLeast"/>
              <w:rPr>
                <w:color w:val="auto"/>
                <w:lang w:eastAsia="en-GB"/>
              </w:rPr>
            </w:pPr>
            <w:r w:rsidRPr="00636F2C">
              <w:rPr>
                <w:color w:val="auto"/>
                <w:lang w:eastAsia="en-GB"/>
              </w:rPr>
              <w:t>50 – 59%</w:t>
            </w:r>
          </w:p>
        </w:tc>
        <w:tc>
          <w:tcPr>
            <w:tcW w:w="1672" w:type="dxa"/>
            <w:hideMark/>
          </w:tcPr>
          <w:p w14:paraId="5AAFB4CA"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Acceptable      </w:t>
            </w:r>
          </w:p>
        </w:tc>
        <w:tc>
          <w:tcPr>
            <w:tcW w:w="5986" w:type="dxa"/>
            <w:hideMark/>
          </w:tcPr>
          <w:p w14:paraId="21B77D88"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An acceptable response demonstrating a minimum understanding offering assurance to client - satisfactorily supported.</w:t>
            </w:r>
          </w:p>
        </w:tc>
      </w:tr>
      <w:tr w:rsidR="00636F2C" w:rsidRPr="00636F2C" w14:paraId="04006FE3" w14:textId="77777777" w:rsidTr="00C87A16">
        <w:tc>
          <w:tcPr>
            <w:cnfStyle w:val="001000000000" w:firstRow="0" w:lastRow="0" w:firstColumn="1" w:lastColumn="0" w:oddVBand="0" w:evenVBand="0" w:oddHBand="0" w:evenHBand="0" w:firstRowFirstColumn="0" w:firstRowLastColumn="0" w:lastRowFirstColumn="0" w:lastRowLastColumn="0"/>
            <w:tcW w:w="0" w:type="dxa"/>
            <w:gridSpan w:val="3"/>
          </w:tcPr>
          <w:p w14:paraId="126B39F1" w14:textId="77777777" w:rsidR="00636F2C" w:rsidRPr="00636F2C" w:rsidRDefault="00636F2C" w:rsidP="00B11249">
            <w:pPr>
              <w:spacing w:before="0" w:after="0" w:line="253" w:lineRule="atLeast"/>
              <w:rPr>
                <w:lang w:eastAsia="en-GB"/>
              </w:rPr>
            </w:pPr>
          </w:p>
          <w:p w14:paraId="369A844E" w14:textId="77777777" w:rsidR="00636F2C" w:rsidRPr="00636F2C" w:rsidRDefault="00636F2C" w:rsidP="00B11249">
            <w:pPr>
              <w:spacing w:before="0" w:after="0" w:line="253" w:lineRule="atLeast"/>
              <w:rPr>
                <w:lang w:eastAsia="en-GB"/>
              </w:rPr>
            </w:pPr>
            <w:r w:rsidRPr="00636F2C">
              <w:rPr>
                <w:lang w:eastAsia="en-GB"/>
              </w:rPr>
              <w:t>Less than 50% is unacceptable and considered ineligible from further consideration</w:t>
            </w:r>
          </w:p>
          <w:p w14:paraId="60D26F30" w14:textId="77777777" w:rsidR="00636F2C" w:rsidRPr="00636F2C" w:rsidRDefault="00636F2C" w:rsidP="00B11249">
            <w:pPr>
              <w:spacing w:before="0" w:after="0" w:line="253" w:lineRule="atLeast"/>
              <w:rPr>
                <w:lang w:eastAsia="en-GB"/>
              </w:rPr>
            </w:pPr>
          </w:p>
        </w:tc>
      </w:tr>
      <w:tr w:rsidR="00636F2C" w:rsidRPr="00636F2C" w14:paraId="34958B61"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1FD11D13" w14:textId="77777777" w:rsidR="00636F2C" w:rsidRPr="00636F2C" w:rsidRDefault="00636F2C" w:rsidP="00B11249">
            <w:pPr>
              <w:spacing w:before="0" w:after="0" w:line="253" w:lineRule="atLeast"/>
              <w:rPr>
                <w:color w:val="auto"/>
                <w:lang w:eastAsia="en-GB"/>
              </w:rPr>
            </w:pPr>
            <w:r w:rsidRPr="00636F2C">
              <w:rPr>
                <w:color w:val="auto"/>
                <w:lang w:eastAsia="en-GB"/>
              </w:rPr>
              <w:t>25 – 49%</w:t>
            </w:r>
          </w:p>
        </w:tc>
        <w:tc>
          <w:tcPr>
            <w:tcW w:w="1672" w:type="dxa"/>
            <w:hideMark/>
          </w:tcPr>
          <w:p w14:paraId="345531ED"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Mediocre</w:t>
            </w:r>
          </w:p>
        </w:tc>
        <w:tc>
          <w:tcPr>
            <w:tcW w:w="5986" w:type="dxa"/>
            <w:hideMark/>
          </w:tcPr>
          <w:p w14:paraId="43692AA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demonstrates limited understanding with insufficient or no detail and a risk of non-delivery.  This is unacceptable and classified as inadmissible.</w:t>
            </w:r>
          </w:p>
        </w:tc>
      </w:tr>
      <w:tr w:rsidR="00636F2C" w:rsidRPr="00636F2C" w14:paraId="7EC7E990" w14:textId="77777777" w:rsidTr="00C87A16">
        <w:tc>
          <w:tcPr>
            <w:cnfStyle w:val="001000000000" w:firstRow="0" w:lastRow="0" w:firstColumn="1" w:lastColumn="0" w:oddVBand="0" w:evenVBand="0" w:oddHBand="0" w:evenHBand="0" w:firstRowFirstColumn="0" w:firstRowLastColumn="0" w:lastRowFirstColumn="0" w:lastRowLastColumn="0"/>
            <w:tcW w:w="1268" w:type="dxa"/>
          </w:tcPr>
          <w:p w14:paraId="6810CBBF" w14:textId="77777777" w:rsidR="00636F2C" w:rsidRPr="00636F2C" w:rsidRDefault="00636F2C" w:rsidP="00B11249">
            <w:pPr>
              <w:spacing w:before="0" w:after="0" w:line="253" w:lineRule="atLeast"/>
              <w:rPr>
                <w:color w:val="auto"/>
                <w:lang w:eastAsia="en-GB"/>
              </w:rPr>
            </w:pPr>
            <w:r w:rsidRPr="00636F2C">
              <w:rPr>
                <w:color w:val="auto"/>
                <w:lang w:eastAsia="en-GB"/>
              </w:rPr>
              <w:t xml:space="preserve"> 1 – 24%</w:t>
            </w:r>
          </w:p>
        </w:tc>
        <w:tc>
          <w:tcPr>
            <w:tcW w:w="1672" w:type="dxa"/>
          </w:tcPr>
          <w:p w14:paraId="6765517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Poor</w:t>
            </w:r>
          </w:p>
        </w:tc>
        <w:tc>
          <w:tcPr>
            <w:tcW w:w="5986" w:type="dxa"/>
          </w:tcPr>
          <w:p w14:paraId="34F38F2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 xml:space="preserve">Response demonstrates very limited understanding of the requirements and has fundamental flaws and lacks credibility with a significant risk of non-delivery. This is unacceptable and classified as inadmissible. </w:t>
            </w:r>
          </w:p>
        </w:tc>
      </w:tr>
      <w:tr w:rsidR="00636F2C" w:rsidRPr="00636F2C" w14:paraId="651E03DA"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56583910" w14:textId="77777777" w:rsidR="00636F2C" w:rsidRPr="00636F2C" w:rsidRDefault="00636F2C" w:rsidP="00B11249">
            <w:pPr>
              <w:spacing w:before="0" w:after="0" w:line="253" w:lineRule="atLeast"/>
              <w:rPr>
                <w:color w:val="auto"/>
                <w:lang w:eastAsia="en-GB"/>
              </w:rPr>
            </w:pPr>
            <w:r w:rsidRPr="00636F2C">
              <w:rPr>
                <w:rFonts w:eastAsiaTheme="minorEastAsia"/>
                <w:color w:val="auto"/>
                <w:sz w:val="20"/>
                <w:szCs w:val="20"/>
                <w:lang w:eastAsia="ja-JP"/>
              </w:rPr>
              <w:t>0%</w:t>
            </w:r>
          </w:p>
        </w:tc>
        <w:tc>
          <w:tcPr>
            <w:tcW w:w="1672" w:type="dxa"/>
            <w:vAlign w:val="center"/>
          </w:tcPr>
          <w:p w14:paraId="11920F7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No response</w:t>
            </w:r>
          </w:p>
        </w:tc>
        <w:tc>
          <w:tcPr>
            <w:tcW w:w="5986" w:type="dxa"/>
            <w:vAlign w:val="center"/>
          </w:tcPr>
          <w:p w14:paraId="2B688E0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completely fails to address the criterion under consideration. This is unacceptable and classified as inadmissible.</w:t>
            </w:r>
          </w:p>
        </w:tc>
      </w:tr>
    </w:tbl>
    <w:p w14:paraId="6D1E3BA7" w14:textId="77777777" w:rsidR="00636F2C" w:rsidRPr="007A7F38" w:rsidRDefault="00636F2C" w:rsidP="00B11249">
      <w:pPr>
        <w:spacing w:before="0" w:after="0" w:line="240" w:lineRule="auto"/>
        <w:rPr>
          <w:rFonts w:eastAsia="Times New Roman"/>
          <w:color w:val="auto"/>
          <w:lang w:val="en-IE"/>
        </w:rPr>
      </w:pPr>
    </w:p>
    <w:p w14:paraId="3B0393A3" w14:textId="16368707" w:rsidR="007A7F38" w:rsidRDefault="00094DA1" w:rsidP="00B11249">
      <w:pPr>
        <w:spacing w:before="0" w:after="0" w:line="240" w:lineRule="auto"/>
      </w:pPr>
      <w:r w:rsidRPr="00094DA1">
        <w:t>Marks in the score ranges outlined above can be awarded where responses so merit additional marks.</w:t>
      </w:r>
    </w:p>
    <w:p w14:paraId="44E6C39A" w14:textId="63EABD4A" w:rsidR="007A7F38" w:rsidRDefault="007A7F38" w:rsidP="00B11249">
      <w:pPr>
        <w:spacing w:before="0" w:after="0" w:line="240" w:lineRule="auto"/>
      </w:pPr>
    </w:p>
    <w:p w14:paraId="3F6CB1A0" w14:textId="165D7C68" w:rsidR="007A7F38" w:rsidRDefault="007A7F38" w:rsidP="00B11249">
      <w:pPr>
        <w:spacing w:before="0" w:after="0" w:line="240" w:lineRule="auto"/>
      </w:pPr>
      <w:r w:rsidRPr="007A7F38">
        <w:rPr>
          <w:b/>
          <w:bCs/>
        </w:rPr>
        <w:t>Note</w:t>
      </w:r>
      <w:r>
        <w:t xml:space="preserve">: where there is a tie-break, the economic operator with the highest quality score will be awarded the quotation.  In a case where the overall qualitative scores are identical the </w:t>
      </w:r>
      <w:r>
        <w:lastRenderedPageBreak/>
        <w:t xml:space="preserve">economic operator with the highest score on the highest weighted qualitative criterion will be awarded the quotation.   </w:t>
      </w:r>
    </w:p>
    <w:p w14:paraId="1B7A4DC4" w14:textId="3E062395" w:rsidR="00B11249" w:rsidRDefault="00B11249" w:rsidP="00B11249">
      <w:pPr>
        <w:spacing w:before="0" w:after="0" w:line="240" w:lineRule="auto"/>
      </w:pPr>
    </w:p>
    <w:p w14:paraId="0C8FDAA2" w14:textId="3C5A163B" w:rsidR="00B11249" w:rsidRDefault="00B11249" w:rsidP="00B11249">
      <w:pPr>
        <w:spacing w:before="0" w:after="0" w:line="240" w:lineRule="auto"/>
      </w:pPr>
      <w:r w:rsidRPr="00B11249">
        <w:t xml:space="preserve">All information regarding the evaluation process or potential outcomes shall remain confidential until after the conclusion of the </w:t>
      </w:r>
      <w:r>
        <w:t xml:space="preserve">quotation </w:t>
      </w:r>
      <w:r w:rsidRPr="00B11249">
        <w:t>process</w:t>
      </w:r>
      <w:r>
        <w:t xml:space="preserve">. </w:t>
      </w:r>
    </w:p>
    <w:p w14:paraId="6713B14B" w14:textId="79857E9B" w:rsidR="00B11249" w:rsidRDefault="00B11249" w:rsidP="00B11249">
      <w:pPr>
        <w:spacing w:before="0" w:after="0" w:line="240" w:lineRule="auto"/>
      </w:pPr>
    </w:p>
    <w:p w14:paraId="05A5B100" w14:textId="77777777" w:rsidR="00B11249" w:rsidRPr="007A7F38" w:rsidRDefault="00B11249" w:rsidP="00B11249">
      <w:pPr>
        <w:spacing w:before="0" w:after="0" w:line="240" w:lineRule="auto"/>
      </w:pPr>
    </w:p>
    <w:p w14:paraId="15A74F6C" w14:textId="7FEDA774" w:rsidR="00B34DD2" w:rsidRPr="000B7249" w:rsidRDefault="2C06EBF5" w:rsidP="1F71FC2F">
      <w:pPr>
        <w:pStyle w:val="Heading1"/>
        <w:ind w:left="426"/>
      </w:pPr>
      <w:bookmarkStart w:id="46" w:name="_Toc72957330"/>
      <w:r>
        <w:t xml:space="preserve">4. </w:t>
      </w:r>
      <w:r w:rsidR="001F3B4F">
        <w:t>FOR</w:t>
      </w:r>
      <w:r w:rsidR="008A3C06">
        <w:t>MAT OF RESPONSE</w:t>
      </w:r>
      <w:bookmarkEnd w:id="46"/>
    </w:p>
    <w:p w14:paraId="4E9E9363" w14:textId="1CA46C42" w:rsidR="00B34DD2" w:rsidRPr="000B7249" w:rsidRDefault="00DD11DC" w:rsidP="00B11249">
      <w:pPr>
        <w:spacing w:before="0"/>
        <w:rPr>
          <w:lang w:val="en-IE"/>
        </w:rPr>
      </w:pPr>
      <w:r>
        <w:rPr>
          <w:lang w:val="en-IE"/>
        </w:rPr>
        <w:t xml:space="preserve">Economic operators </w:t>
      </w:r>
      <w:r w:rsidR="008A3C06" w:rsidRPr="000B7249">
        <w:rPr>
          <w:lang w:val="en-IE"/>
        </w:rPr>
        <w:t xml:space="preserve">are required to complete the </w:t>
      </w:r>
      <w:r w:rsidR="0047753E" w:rsidRPr="000B7249">
        <w:rPr>
          <w:lang w:val="en-IE"/>
        </w:rPr>
        <w:t xml:space="preserve">separate </w:t>
      </w:r>
      <w:r w:rsidR="008A3C06" w:rsidRPr="00336A95">
        <w:rPr>
          <w:b/>
          <w:bCs/>
          <w:lang w:val="en-IE"/>
        </w:rPr>
        <w:t xml:space="preserve">Quotation Response </w:t>
      </w:r>
      <w:r w:rsidR="007E6D3E" w:rsidRPr="00336A95">
        <w:rPr>
          <w:b/>
          <w:bCs/>
          <w:lang w:val="en-IE"/>
        </w:rPr>
        <w:t>Document</w:t>
      </w:r>
      <w:r w:rsidR="008A3C06" w:rsidRPr="000B7249">
        <w:rPr>
          <w:lang w:val="en-IE"/>
        </w:rPr>
        <w:t xml:space="preserve"> </w:t>
      </w:r>
      <w:r w:rsidR="00336A95">
        <w:rPr>
          <w:b/>
          <w:bCs/>
          <w:lang w:val="en-IE"/>
        </w:rPr>
        <w:t xml:space="preserve">(QRD) </w:t>
      </w:r>
      <w:r w:rsidR="008A3C06" w:rsidRPr="000B7249">
        <w:rPr>
          <w:lang w:val="en-IE"/>
        </w:rPr>
        <w:t xml:space="preserve">which contains: </w:t>
      </w:r>
    </w:p>
    <w:p w14:paraId="52745CBA" w14:textId="019500AB" w:rsidR="00232274" w:rsidRPr="000B7249" w:rsidRDefault="00232274" w:rsidP="00B11249">
      <w:pPr>
        <w:numPr>
          <w:ilvl w:val="2"/>
          <w:numId w:val="3"/>
        </w:numPr>
        <w:spacing w:before="0"/>
        <w:contextualSpacing/>
        <w:rPr>
          <w:lang w:val="en-IE"/>
        </w:rPr>
      </w:pPr>
      <w:r w:rsidRPr="000B7249">
        <w:rPr>
          <w:lang w:val="en-IE"/>
        </w:rPr>
        <w:t xml:space="preserve">General </w:t>
      </w:r>
      <w:r w:rsidR="00BF38CF" w:rsidRPr="000B7249">
        <w:rPr>
          <w:lang w:val="en-IE"/>
        </w:rPr>
        <w:t>Economic operator</w:t>
      </w:r>
      <w:r w:rsidRPr="000B7249">
        <w:rPr>
          <w:lang w:val="en-IE"/>
        </w:rPr>
        <w:t xml:space="preserve"> Information</w:t>
      </w:r>
    </w:p>
    <w:p w14:paraId="55162209" w14:textId="77777777" w:rsidR="00232274" w:rsidRPr="000B7249" w:rsidRDefault="00232274" w:rsidP="00B11249">
      <w:pPr>
        <w:numPr>
          <w:ilvl w:val="2"/>
          <w:numId w:val="3"/>
        </w:numPr>
        <w:spacing w:before="0"/>
        <w:contextualSpacing/>
        <w:rPr>
          <w:lang w:val="en-IE"/>
        </w:rPr>
      </w:pPr>
      <w:r w:rsidRPr="000B7249">
        <w:rPr>
          <w:lang w:val="en-IE"/>
        </w:rPr>
        <w:t>Information regarding compliance with the Suitability Criteria – tax, insurances and declarations</w:t>
      </w:r>
    </w:p>
    <w:p w14:paraId="14F9377C" w14:textId="001FE735" w:rsidR="00B34DD2" w:rsidRDefault="00232274" w:rsidP="008F3DB2">
      <w:pPr>
        <w:numPr>
          <w:ilvl w:val="2"/>
          <w:numId w:val="3"/>
        </w:numPr>
        <w:spacing w:before="0"/>
        <w:contextualSpacing/>
        <w:rPr>
          <w:lang w:val="en-IE"/>
        </w:rPr>
      </w:pPr>
      <w:r w:rsidRPr="002C4B84">
        <w:rPr>
          <w:lang w:val="en-IE"/>
        </w:rPr>
        <w:t>The Quotation Form</w:t>
      </w:r>
      <w:r w:rsidR="0057703F" w:rsidRPr="002C4B84">
        <w:rPr>
          <w:lang w:val="en-IE"/>
        </w:rPr>
        <w:t xml:space="preserve"> </w:t>
      </w:r>
      <w:r w:rsidR="00336A95" w:rsidRPr="002C4B84">
        <w:rPr>
          <w:lang w:val="en-IE"/>
        </w:rPr>
        <w:t xml:space="preserve">for pricing information </w:t>
      </w:r>
      <w:r w:rsidR="0057703F" w:rsidRPr="002C4B84">
        <w:rPr>
          <w:lang w:val="en-IE"/>
        </w:rPr>
        <w:t>and where relevant r</w:t>
      </w:r>
      <w:r w:rsidRPr="002C4B84">
        <w:rPr>
          <w:lang w:val="en-IE"/>
        </w:rPr>
        <w:t>esponse to</w:t>
      </w:r>
      <w:r w:rsidR="0057703F" w:rsidRPr="002C4B84">
        <w:rPr>
          <w:lang w:val="en-IE"/>
        </w:rPr>
        <w:t xml:space="preserve"> the Qualitative Award Criteria. </w:t>
      </w:r>
    </w:p>
    <w:p w14:paraId="00197BD0" w14:textId="77777777" w:rsidR="002C4B84" w:rsidRPr="002C4B84" w:rsidRDefault="002C4B84" w:rsidP="002C4B84">
      <w:pPr>
        <w:spacing w:before="0"/>
        <w:ind w:left="1080"/>
        <w:contextualSpacing/>
        <w:rPr>
          <w:lang w:val="en-IE"/>
        </w:rPr>
      </w:pPr>
    </w:p>
    <w:p w14:paraId="197511D8" w14:textId="3EF406B4" w:rsidR="00B34DD2" w:rsidRPr="000B7249" w:rsidRDefault="008A3C06" w:rsidP="00B11249">
      <w:pPr>
        <w:spacing w:before="0"/>
        <w:rPr>
          <w:lang w:val="en-IE"/>
        </w:rPr>
      </w:pPr>
      <w:r w:rsidRPr="002C4B84">
        <w:rPr>
          <w:lang w:val="en-IE"/>
        </w:rPr>
        <w:t xml:space="preserve">Please ensure you read the Instructions to </w:t>
      </w:r>
      <w:r w:rsidR="00DD11DC" w:rsidRPr="002C4B84">
        <w:rPr>
          <w:lang w:val="en-IE"/>
        </w:rPr>
        <w:t>e</w:t>
      </w:r>
      <w:r w:rsidR="00BF38CF" w:rsidRPr="002C4B84">
        <w:rPr>
          <w:lang w:val="en-IE"/>
        </w:rPr>
        <w:t>conomic operator</w:t>
      </w:r>
      <w:r w:rsidRPr="002C4B84">
        <w:rPr>
          <w:lang w:val="en-IE"/>
        </w:rPr>
        <w:t xml:space="preserve">s Quoting </w:t>
      </w:r>
      <w:r w:rsidR="00616934" w:rsidRPr="002C4B84">
        <w:rPr>
          <w:lang w:val="en-IE"/>
        </w:rPr>
        <w:t>as detailed in</w:t>
      </w:r>
      <w:r w:rsidRPr="002C4B84">
        <w:rPr>
          <w:lang w:val="en-IE"/>
        </w:rPr>
        <w:t xml:space="preserve"> Section </w:t>
      </w:r>
      <w:r w:rsidR="002C4B84" w:rsidRPr="002C4B84">
        <w:rPr>
          <w:lang w:val="en-IE"/>
        </w:rPr>
        <w:t>4</w:t>
      </w:r>
      <w:r w:rsidRPr="002C4B84">
        <w:rPr>
          <w:lang w:val="en-IE"/>
        </w:rPr>
        <w:t>.</w:t>
      </w:r>
      <w:r w:rsidRPr="000B7249">
        <w:rPr>
          <w:lang w:val="en-IE"/>
        </w:rPr>
        <w:t xml:space="preserve"> </w:t>
      </w:r>
    </w:p>
    <w:p w14:paraId="12A8A3FA" w14:textId="19BE701F" w:rsidR="00B34DD2" w:rsidRPr="000B7249" w:rsidRDefault="00B34DD2" w:rsidP="00B11249">
      <w:pPr>
        <w:pStyle w:val="Heading1"/>
        <w:numPr>
          <w:ilvl w:val="0"/>
          <w:numId w:val="4"/>
        </w:numPr>
        <w:ind w:left="567" w:hanging="567"/>
      </w:pPr>
      <w:bookmarkStart w:id="47" w:name="_Toc195681197"/>
      <w:r w:rsidRPr="000B7249">
        <w:t xml:space="preserve"> </w:t>
      </w:r>
      <w:bookmarkStart w:id="48" w:name="_Toc72957331"/>
      <w:r w:rsidRPr="000B7249">
        <w:t>INSTRUCTIONS</w:t>
      </w:r>
      <w:bookmarkEnd w:id="47"/>
      <w:r w:rsidRPr="000B7249">
        <w:t xml:space="preserve"> FOR </w:t>
      </w:r>
      <w:r w:rsidR="00BF38CF" w:rsidRPr="000B7249">
        <w:t>ECONOMIC OPERATOR</w:t>
      </w:r>
      <w:r w:rsidRPr="000B7249">
        <w:t>S QUOTING</w:t>
      </w:r>
      <w:bookmarkEnd w:id="48"/>
    </w:p>
    <w:p w14:paraId="721859A0" w14:textId="77777777" w:rsidR="00C13C25" w:rsidRPr="00C13C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49" w:name="_Toc64621801"/>
      <w:bookmarkStart w:id="50" w:name="_Toc66368917"/>
      <w:bookmarkStart w:id="51" w:name="_Toc72325207"/>
      <w:bookmarkStart w:id="52" w:name="_Toc72325950"/>
      <w:bookmarkStart w:id="53" w:name="_Toc72331958"/>
      <w:bookmarkStart w:id="54" w:name="_Toc72421500"/>
      <w:bookmarkStart w:id="55" w:name="_Toc72957332"/>
      <w:bookmarkStart w:id="56" w:name="_Toc391403799"/>
      <w:bookmarkStart w:id="57" w:name="_Toc490418858"/>
      <w:bookmarkStart w:id="58" w:name="_Toc217713501"/>
      <w:bookmarkStart w:id="59" w:name="_Toc391403802"/>
      <w:bookmarkEnd w:id="49"/>
      <w:bookmarkEnd w:id="50"/>
      <w:bookmarkEnd w:id="51"/>
      <w:bookmarkEnd w:id="52"/>
      <w:bookmarkEnd w:id="53"/>
      <w:bookmarkEnd w:id="54"/>
      <w:bookmarkEnd w:id="55"/>
    </w:p>
    <w:p w14:paraId="6B8B0ED8" w14:textId="77777777" w:rsidR="00C13C25" w:rsidRPr="00C13C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60" w:name="_Toc64621802"/>
      <w:bookmarkStart w:id="61" w:name="_Toc66368918"/>
      <w:bookmarkStart w:id="62" w:name="_Toc72325208"/>
      <w:bookmarkStart w:id="63" w:name="_Toc72325951"/>
      <w:bookmarkStart w:id="64" w:name="_Toc72331959"/>
      <w:bookmarkStart w:id="65" w:name="_Toc72421501"/>
      <w:bookmarkStart w:id="66" w:name="_Toc72957333"/>
      <w:bookmarkEnd w:id="60"/>
      <w:bookmarkEnd w:id="61"/>
      <w:bookmarkEnd w:id="62"/>
      <w:bookmarkEnd w:id="63"/>
      <w:bookmarkEnd w:id="64"/>
      <w:bookmarkEnd w:id="65"/>
      <w:bookmarkEnd w:id="66"/>
    </w:p>
    <w:p w14:paraId="6A21187D" w14:textId="2B335686" w:rsidR="0057703F" w:rsidRPr="00FE26CD" w:rsidRDefault="0057703F" w:rsidP="00B11249">
      <w:pPr>
        <w:pStyle w:val="Heading2"/>
        <w:jc w:val="both"/>
      </w:pPr>
      <w:bookmarkStart w:id="67" w:name="_Toc72957334"/>
      <w:r w:rsidRPr="00FE26CD">
        <w:t>Closing Date</w:t>
      </w:r>
      <w:bookmarkEnd w:id="56"/>
      <w:bookmarkEnd w:id="57"/>
      <w:bookmarkEnd w:id="67"/>
    </w:p>
    <w:p w14:paraId="55D942F0" w14:textId="0A42CEA6" w:rsidR="0057703F" w:rsidRPr="000B7249" w:rsidRDefault="0057703F" w:rsidP="00B11249">
      <w:pPr>
        <w:spacing w:before="0"/>
        <w:rPr>
          <w:lang w:val="en-IE"/>
        </w:rPr>
      </w:pPr>
      <w:r w:rsidRPr="000B7249">
        <w:rPr>
          <w:lang w:val="en-IE"/>
        </w:rPr>
        <w:t xml:space="preserve">The closing date for receipt of quotations </w:t>
      </w:r>
      <w:r w:rsidR="000E2B6F" w:rsidRPr="000E2B6F">
        <w:rPr>
          <w:lang w:val="en-IE"/>
        </w:rPr>
        <w:t>is listed on the title page of this document. Quotations that are received late will not be considered in this competition.</w:t>
      </w:r>
    </w:p>
    <w:p w14:paraId="0AE9E4E1" w14:textId="77777777" w:rsidR="0057703F" w:rsidRPr="000B7249" w:rsidRDefault="0057703F" w:rsidP="00B11249">
      <w:pPr>
        <w:pStyle w:val="Heading2"/>
        <w:jc w:val="both"/>
      </w:pPr>
      <w:bookmarkStart w:id="68" w:name="_Toc490418859"/>
      <w:bookmarkStart w:id="69" w:name="_Toc72957335"/>
      <w:bookmarkStart w:id="70" w:name="_Toc217713492"/>
      <w:bookmarkStart w:id="71" w:name="_Toc391403800"/>
      <w:r w:rsidRPr="000B7249">
        <w:t>Submission of Quotations</w:t>
      </w:r>
      <w:bookmarkEnd w:id="68"/>
      <w:bookmarkEnd w:id="69"/>
    </w:p>
    <w:p w14:paraId="49FE5099" w14:textId="33108682" w:rsidR="0057703F" w:rsidRPr="000B7249" w:rsidRDefault="0057703F" w:rsidP="00B11249">
      <w:pPr>
        <w:spacing w:before="0"/>
        <w:rPr>
          <w:lang w:val="en-IE"/>
        </w:rPr>
      </w:pPr>
      <w:bookmarkStart w:id="72" w:name="_Toc488764816"/>
      <w:r w:rsidRPr="000B7249">
        <w:rPr>
          <w:lang w:val="en-IE"/>
        </w:rPr>
        <w:t xml:space="preserve">Quotations should be submitted to the </w:t>
      </w:r>
      <w:r w:rsidR="000E2B6F" w:rsidRPr="000E2B6F">
        <w:rPr>
          <w:lang w:val="en-IE"/>
        </w:rPr>
        <w:t>email address listed on the title page of this document.</w:t>
      </w:r>
      <w:r w:rsidRPr="000B7249">
        <w:rPr>
          <w:lang w:val="en-IE"/>
        </w:rPr>
        <w:t xml:space="preserve"> </w:t>
      </w:r>
    </w:p>
    <w:p w14:paraId="1F378138" w14:textId="582CFA26" w:rsidR="0057703F" w:rsidRPr="000B7249" w:rsidRDefault="0057703F" w:rsidP="00B11249">
      <w:pPr>
        <w:pStyle w:val="Heading2"/>
        <w:jc w:val="both"/>
      </w:pPr>
      <w:bookmarkStart w:id="73" w:name="_Toc490418860"/>
      <w:bookmarkStart w:id="74" w:name="_Toc72957336"/>
      <w:bookmarkEnd w:id="72"/>
      <w:r w:rsidRPr="000B7249">
        <w:t>Queries</w:t>
      </w:r>
      <w:bookmarkEnd w:id="70"/>
      <w:bookmarkEnd w:id="71"/>
      <w:bookmarkEnd w:id="73"/>
      <w:bookmarkEnd w:id="74"/>
    </w:p>
    <w:p w14:paraId="26609DE2" w14:textId="585DE300" w:rsidR="0057703F" w:rsidRPr="000B7249" w:rsidRDefault="0057703F" w:rsidP="1F71FC2F">
      <w:pPr>
        <w:spacing w:before="0"/>
      </w:pPr>
      <w:r w:rsidRPr="1F71FC2F">
        <w:t xml:space="preserve">All </w:t>
      </w:r>
      <w:r w:rsidR="000E2B6F" w:rsidRPr="1F71FC2F">
        <w:t xml:space="preserve">queries regarding this quotation must be submitted </w:t>
      </w:r>
      <w:r w:rsidR="00232712" w:rsidRPr="1F71FC2F">
        <w:t xml:space="preserve">via the process </w:t>
      </w:r>
      <w:r w:rsidR="000E2B6F" w:rsidRPr="1F71FC2F">
        <w:t xml:space="preserve">listed on the title page of this document. Queries </w:t>
      </w:r>
      <w:r w:rsidR="00232712" w:rsidRPr="1F71FC2F">
        <w:t xml:space="preserve">should </w:t>
      </w:r>
      <w:r w:rsidR="000E2B6F" w:rsidRPr="1F71FC2F">
        <w:t xml:space="preserve">also be marked </w:t>
      </w:r>
      <w:r w:rsidR="00232712" w:rsidRPr="1F71FC2F">
        <w:t>referencing the title of the procurement</w:t>
      </w:r>
      <w:r w:rsidR="000E2B6F" w:rsidRPr="1F71FC2F">
        <w:t xml:space="preserve">. </w:t>
      </w:r>
      <w:r w:rsidRPr="1F71FC2F">
        <w:rPr>
          <w:color w:val="0000FF"/>
        </w:rPr>
        <w:t xml:space="preserve"> </w:t>
      </w:r>
      <w:r w:rsidRPr="1F71FC2F">
        <w:t xml:space="preserve">  </w:t>
      </w:r>
    </w:p>
    <w:p w14:paraId="6395A4FE" w14:textId="24F40B13" w:rsidR="0057703F" w:rsidRPr="000B7249" w:rsidRDefault="0057703F" w:rsidP="00B11249">
      <w:pPr>
        <w:spacing w:before="0"/>
        <w:rPr>
          <w:lang w:val="en-IE"/>
        </w:rPr>
      </w:pPr>
      <w:r w:rsidRPr="000B7249">
        <w:rPr>
          <w:lang w:val="en-IE"/>
        </w:rPr>
        <w:t xml:space="preserve">Queries should be raised as soon as possible </w:t>
      </w:r>
      <w:r w:rsidR="00232712" w:rsidRPr="000B7249">
        <w:rPr>
          <w:lang w:val="en-IE"/>
        </w:rPr>
        <w:t>and, in any case,</w:t>
      </w:r>
      <w:r w:rsidRPr="000B7249">
        <w:rPr>
          <w:lang w:val="en-IE"/>
        </w:rPr>
        <w:t xml:space="preserve"> at </w:t>
      </w:r>
      <w:r w:rsidRPr="000B7249">
        <w:rPr>
          <w:b/>
          <w:u w:val="single"/>
          <w:lang w:val="en-IE"/>
        </w:rPr>
        <w:t xml:space="preserve">least </w:t>
      </w:r>
      <w:r w:rsidR="000E2B6F">
        <w:rPr>
          <w:b/>
          <w:u w:val="single"/>
          <w:lang w:val="en-IE"/>
        </w:rPr>
        <w:t>3</w:t>
      </w:r>
      <w:r w:rsidR="000E2B6F" w:rsidRPr="000B7249">
        <w:rPr>
          <w:b/>
          <w:u w:val="single"/>
          <w:lang w:val="en-IE"/>
        </w:rPr>
        <w:t xml:space="preserve"> </w:t>
      </w:r>
      <w:r w:rsidRPr="000B7249">
        <w:rPr>
          <w:b/>
          <w:u w:val="single"/>
          <w:lang w:val="en-IE"/>
        </w:rPr>
        <w:t>day</w:t>
      </w:r>
      <w:r w:rsidR="000E2B6F">
        <w:rPr>
          <w:b/>
          <w:u w:val="single"/>
          <w:lang w:val="en-IE"/>
        </w:rPr>
        <w:t>s</w:t>
      </w:r>
      <w:r w:rsidRPr="000B7249">
        <w:rPr>
          <w:lang w:val="en-IE"/>
        </w:rPr>
        <w:t xml:space="preserve"> before the closing date. </w:t>
      </w:r>
    </w:p>
    <w:p w14:paraId="7EE77F75" w14:textId="77777777" w:rsidR="0057703F" w:rsidRPr="000B7249" w:rsidRDefault="0057703F" w:rsidP="00B11249">
      <w:pPr>
        <w:spacing w:before="0"/>
        <w:rPr>
          <w:lang w:val="en-IE"/>
        </w:rPr>
      </w:pPr>
      <w:proofErr w:type="gramStart"/>
      <w:r w:rsidRPr="000B7249">
        <w:rPr>
          <w:lang w:val="en-IE"/>
        </w:rPr>
        <w:t>For the purpose of</w:t>
      </w:r>
      <w:proofErr w:type="gramEnd"/>
      <w:r w:rsidRPr="000B7249">
        <w:rPr>
          <w:lang w:val="en-IE"/>
        </w:rPr>
        <w:t xml:space="preserve"> circulating responses, queries will be edited to avoid disclosing the identity of the querist, and any sensitive information included in the query should be clearly indicated. </w:t>
      </w:r>
    </w:p>
    <w:p w14:paraId="3B859F32" w14:textId="2AFC27C8" w:rsidR="00B34DD2" w:rsidRPr="000B7249" w:rsidRDefault="00B34DD2" w:rsidP="00B11249">
      <w:pPr>
        <w:pStyle w:val="Heading2"/>
        <w:jc w:val="both"/>
      </w:pPr>
      <w:bookmarkStart w:id="75" w:name="_Toc72957337"/>
      <w:r w:rsidRPr="000B7249">
        <w:t>Currency</w:t>
      </w:r>
      <w:bookmarkEnd w:id="58"/>
      <w:r w:rsidRPr="000B7249">
        <w:t xml:space="preserve"> and Payments</w:t>
      </w:r>
      <w:bookmarkEnd w:id="59"/>
      <w:bookmarkEnd w:id="75"/>
    </w:p>
    <w:p w14:paraId="7AEF14DF" w14:textId="77777777" w:rsidR="003431F4" w:rsidRPr="00E074FD" w:rsidRDefault="003431F4" w:rsidP="00E074FD">
      <w:pPr>
        <w:spacing w:before="0"/>
        <w:rPr>
          <w:lang w:val="en-IE"/>
        </w:rPr>
      </w:pPr>
      <w:bookmarkStart w:id="76" w:name="_Toc217713502"/>
      <w:bookmarkStart w:id="77" w:name="_Toc391403803"/>
      <w:bookmarkStart w:id="78" w:name="_Toc72957338"/>
      <w:r w:rsidRPr="00E074FD">
        <w:rPr>
          <w:lang w:val="en-IE"/>
        </w:rPr>
        <w:t xml:space="preserve">The currency in which all prices and rates shall be tendered, and which payments under the contract will be paid, shall be Euro (€). All prices and rates quoted should be exclusive of VAT, with the applicable rate of VAT clearly indicated.    </w:t>
      </w:r>
    </w:p>
    <w:p w14:paraId="4100B818" w14:textId="77777777" w:rsidR="003431F4" w:rsidRPr="003431F4" w:rsidRDefault="003431F4" w:rsidP="003431F4">
      <w:r w:rsidRPr="003431F4">
        <w:lastRenderedPageBreak/>
        <w:t xml:space="preserve">A schedule of payments will be agreed with the successful tenderer and invoices shall be submitted in accordance with the terms agreed with the Contracting Authority. </w:t>
      </w:r>
    </w:p>
    <w:p w14:paraId="50F13C87" w14:textId="77777777" w:rsidR="00B34DD2" w:rsidRPr="000B7249" w:rsidRDefault="00B34DD2" w:rsidP="00B11249">
      <w:pPr>
        <w:pStyle w:val="Heading2"/>
        <w:jc w:val="both"/>
      </w:pPr>
      <w:r w:rsidRPr="000B7249">
        <w:t>Confidentiality</w:t>
      </w:r>
      <w:bookmarkEnd w:id="76"/>
      <w:bookmarkEnd w:id="77"/>
      <w:bookmarkEnd w:id="78"/>
    </w:p>
    <w:p w14:paraId="51ABEF1E" w14:textId="6D01B499" w:rsidR="00B34DD2" w:rsidRPr="000B7249" w:rsidRDefault="00B34DD2" w:rsidP="00B11249">
      <w:pPr>
        <w:spacing w:before="0"/>
        <w:rPr>
          <w:lang w:val="en-IE"/>
        </w:rPr>
      </w:pPr>
      <w:r w:rsidRPr="000B7249">
        <w:rPr>
          <w:lang w:val="en-IE"/>
        </w:rPr>
        <w:t xml:space="preserve">The distribution of the </w:t>
      </w:r>
      <w:r w:rsidR="00426126" w:rsidRPr="000B7249">
        <w:rPr>
          <w:lang w:val="en-IE"/>
        </w:rPr>
        <w:t>quotation</w:t>
      </w:r>
      <w:r w:rsidRPr="000B7249">
        <w:rPr>
          <w:lang w:val="en-IE"/>
        </w:rPr>
        <w:t xml:space="preserve"> documents is for the sole purpose of obtaining offers. The distribution does not grant permission or licence to use the documents for any other purpose. </w:t>
      </w:r>
      <w:r w:rsidR="00BF38CF" w:rsidRPr="000B7249">
        <w:rPr>
          <w:lang w:val="en-IE"/>
        </w:rPr>
        <w:t>Economic operator</w:t>
      </w:r>
      <w:r w:rsidRPr="000B7249">
        <w:rPr>
          <w:lang w:val="en-IE"/>
        </w:rPr>
        <w:t xml:space="preserve">s are required to treat the details of all documents supplied in connection with the </w:t>
      </w:r>
      <w:r w:rsidR="00426126" w:rsidRPr="000B7249">
        <w:rPr>
          <w:lang w:val="en-IE"/>
        </w:rPr>
        <w:t>quotation</w:t>
      </w:r>
      <w:r w:rsidRPr="000B7249">
        <w:rPr>
          <w:lang w:val="en-IE"/>
        </w:rPr>
        <w:t xml:space="preserve"> process as private and confidential. </w:t>
      </w:r>
    </w:p>
    <w:p w14:paraId="4C013733" w14:textId="77777777" w:rsidR="00B34DD2" w:rsidRPr="000B7249" w:rsidRDefault="00B34DD2" w:rsidP="00B11249">
      <w:pPr>
        <w:pStyle w:val="Heading2"/>
        <w:jc w:val="both"/>
      </w:pPr>
      <w:bookmarkStart w:id="79" w:name="_Toc217713503"/>
      <w:bookmarkStart w:id="80" w:name="_Toc391403804"/>
      <w:bookmarkStart w:id="81" w:name="_Toc72957339"/>
      <w:r w:rsidRPr="000B7249">
        <w:t>Conflict of Interest</w:t>
      </w:r>
      <w:bookmarkEnd w:id="79"/>
      <w:bookmarkEnd w:id="80"/>
      <w:bookmarkEnd w:id="81"/>
    </w:p>
    <w:p w14:paraId="42A202AD" w14:textId="68F5E46E" w:rsidR="00E074FD" w:rsidRPr="00E074FD" w:rsidRDefault="00E074FD" w:rsidP="00E074FD">
      <w:pPr>
        <w:spacing w:before="0"/>
        <w:rPr>
          <w:lang w:val="en-IE"/>
        </w:rPr>
      </w:pPr>
      <w:bookmarkStart w:id="82" w:name="_Hlk523165976"/>
      <w:bookmarkStart w:id="83" w:name="_Toc217713504"/>
      <w:bookmarkStart w:id="84" w:name="_Toc391403805"/>
      <w:bookmarkStart w:id="85" w:name="_Toc72957340"/>
      <w:r w:rsidRPr="00E074FD">
        <w:rPr>
          <w:lang w:val="en-IE"/>
        </w:rPr>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82"/>
      <w:r w:rsidRPr="00E074FD">
        <w:rPr>
          <w:lang w:val="en-IE"/>
        </w:rPr>
        <w:t xml:space="preserve">. </w:t>
      </w:r>
    </w:p>
    <w:p w14:paraId="1B22B68B" w14:textId="6E21AEED" w:rsidR="00B34DD2" w:rsidRPr="000B7249" w:rsidRDefault="00B34DD2" w:rsidP="00B11249">
      <w:pPr>
        <w:pStyle w:val="Heading2"/>
        <w:jc w:val="both"/>
      </w:pPr>
      <w:r w:rsidRPr="000B7249">
        <w:t>Freedom of Information Acts</w:t>
      </w:r>
      <w:bookmarkEnd w:id="83"/>
      <w:bookmarkEnd w:id="84"/>
      <w:bookmarkEnd w:id="85"/>
    </w:p>
    <w:p w14:paraId="1C702744" w14:textId="7CC62455" w:rsidR="00ED51DC" w:rsidRPr="00ED51DC" w:rsidRDefault="00ED51DC" w:rsidP="00B11249">
      <w:pPr>
        <w:spacing w:before="0" w:after="100" w:afterAutospacing="1"/>
        <w:rPr>
          <w:lang w:val="en-IE"/>
        </w:rPr>
      </w:pPr>
      <w:r>
        <w:rPr>
          <w:lang w:val="en-IE"/>
        </w:rPr>
        <w:t xml:space="preserve">All </w:t>
      </w:r>
      <w:r w:rsidRPr="00ED51DC">
        <w:rPr>
          <w:lang w:val="en-IE"/>
        </w:rPr>
        <w:t xml:space="preserve">responses to this Request for </w:t>
      </w:r>
      <w:r w:rsidR="00E074FD">
        <w:rPr>
          <w:lang w:val="en-IE"/>
        </w:rPr>
        <w:t>Quotation</w:t>
      </w:r>
      <w:r w:rsidRPr="00ED51DC">
        <w:rPr>
          <w:lang w:val="en-IE"/>
        </w:rPr>
        <w:t xml:space="preserve">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12C4F56" w14:textId="1B58AB95" w:rsidR="00635965" w:rsidRPr="000B7249" w:rsidRDefault="00ED51DC" w:rsidP="00B11249">
      <w:pPr>
        <w:spacing w:before="0" w:after="100" w:afterAutospacing="1"/>
        <w:rPr>
          <w:lang w:val="en-IE"/>
        </w:rPr>
      </w:pPr>
      <w:r w:rsidRPr="00ED51DC">
        <w:rPr>
          <w:lang w:val="en-IE"/>
        </w:rPr>
        <w:t xml:space="preserve">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w:t>
      </w:r>
      <w:proofErr w:type="gramStart"/>
      <w:r w:rsidRPr="00ED51DC">
        <w:rPr>
          <w:lang w:val="en-IE"/>
        </w:rPr>
        <w:t>as a result of</w:t>
      </w:r>
      <w:proofErr w:type="gramEnd"/>
      <w:r w:rsidRPr="00ED51DC">
        <w:rPr>
          <w:lang w:val="en-IE"/>
        </w:rPr>
        <w:t xml:space="preserve"> such disclosure</w:t>
      </w:r>
      <w:r w:rsidR="00635965" w:rsidRPr="000B7249">
        <w:rPr>
          <w:lang w:val="en-IE"/>
        </w:rPr>
        <w:t>.</w:t>
      </w:r>
    </w:p>
    <w:p w14:paraId="39A97613" w14:textId="77777777" w:rsidR="0057703F" w:rsidRPr="000B7249" w:rsidRDefault="0057703F" w:rsidP="00B11249">
      <w:pPr>
        <w:pStyle w:val="Heading2"/>
        <w:spacing w:line="240" w:lineRule="auto"/>
        <w:jc w:val="both"/>
      </w:pPr>
      <w:bookmarkStart w:id="86" w:name="_Toc72957341"/>
      <w:bookmarkStart w:id="87" w:name="_Toc490418865"/>
      <w:bookmarkStart w:id="88" w:name="_Toc217713505"/>
      <w:bookmarkStart w:id="89" w:name="_Toc391403806"/>
      <w:r w:rsidRPr="000B7249">
        <w:t>Data Protection</w:t>
      </w:r>
      <w:bookmarkEnd w:id="86"/>
      <w:r w:rsidRPr="000B7249">
        <w:t xml:space="preserve"> </w:t>
      </w:r>
      <w:bookmarkEnd w:id="87"/>
    </w:p>
    <w:p w14:paraId="3956FDD9" w14:textId="1C355CDC" w:rsidR="006354FD" w:rsidRPr="000B7249" w:rsidRDefault="006354FD" w:rsidP="00B11249">
      <w:pPr>
        <w:rPr>
          <w:lang w:val="en-IE"/>
        </w:rPr>
      </w:pPr>
      <w:r w:rsidRPr="000B7249">
        <w:rPr>
          <w:lang w:val="en-IE"/>
        </w:rPr>
        <w:t xml:space="preserve">Data Protection Laws” means all applicable national and EU data protection laws, regulations and guidelines including but not limited to Regulation (EU) 2016/679 on the protection of </w:t>
      </w:r>
      <w:r w:rsidRPr="000B7249">
        <w:rPr>
          <w:lang w:val="en-IE"/>
        </w:rPr>
        <w:lastRenderedPageBreak/>
        <w:t xml:space="preserve">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373B4833" w14:textId="14739BD3" w:rsidR="006354FD" w:rsidRPr="000B7249" w:rsidRDefault="006354FD" w:rsidP="00B11249">
      <w:pPr>
        <w:rPr>
          <w:lang w:val="en-IE"/>
        </w:rPr>
      </w:pPr>
      <w:r w:rsidRPr="000B7249">
        <w:rPr>
          <w:lang w:val="en-IE"/>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w:t>
      </w:r>
      <w:r w:rsidR="003B0255" w:rsidRPr="000B7249">
        <w:rPr>
          <w:lang w:val="en-IE"/>
        </w:rPr>
        <w:t>this Request for Quotation.</w:t>
      </w:r>
    </w:p>
    <w:p w14:paraId="4016C4A8" w14:textId="753386C8" w:rsidR="006354FD" w:rsidRDefault="006354FD" w:rsidP="00B11249">
      <w:pPr>
        <w:rPr>
          <w:lang w:val="en-IE"/>
        </w:rPr>
      </w:pPr>
      <w:r w:rsidRPr="000B7249">
        <w:rPr>
          <w:lang w:val="en-IE"/>
        </w:rPr>
        <w:t xml:space="preserve">The Tenderer, as Controller in respect of any Personal Data provided by it in its Tender, is required to confirm by way of statement </w:t>
      </w:r>
      <w:r w:rsidR="00BF38CF" w:rsidRPr="000B7249">
        <w:rPr>
          <w:lang w:val="en-IE"/>
        </w:rPr>
        <w:t xml:space="preserve">in the “Declarations” section of the accompanying Quotation Response Document (QRD) </w:t>
      </w:r>
      <w:r w:rsidRPr="000B7249">
        <w:rPr>
          <w:lang w:val="en-IE"/>
        </w:rPr>
        <w:t xml:space="preserve">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w:t>
      </w:r>
    </w:p>
    <w:p w14:paraId="54C6A582" w14:textId="438211DC" w:rsidR="00D37DC0" w:rsidRDefault="00D37DC0" w:rsidP="00B11249">
      <w:pPr>
        <w:pStyle w:val="Heading2"/>
        <w:spacing w:line="240" w:lineRule="auto"/>
        <w:jc w:val="both"/>
      </w:pPr>
      <w:bookmarkStart w:id="90" w:name="_Toc72957342"/>
      <w:r>
        <w:t>Publicity</w:t>
      </w:r>
      <w:bookmarkEnd w:id="90"/>
    </w:p>
    <w:p w14:paraId="5E58A6E1" w14:textId="1C68A70D" w:rsidR="00D37DC0" w:rsidRPr="00D37DC0" w:rsidRDefault="007A7F38" w:rsidP="00B11249">
      <w:pPr>
        <w:rPr>
          <w:lang w:val="en-IE"/>
        </w:rPr>
      </w:pPr>
      <w:r>
        <w:rPr>
          <w:lang w:val="en-IE"/>
        </w:rPr>
        <w:t>Economic Operators</w:t>
      </w:r>
      <w:r w:rsidR="00D37DC0">
        <w:rPr>
          <w:lang w:val="en-IE"/>
        </w:rPr>
        <w:t xml:space="preserve"> </w:t>
      </w:r>
      <w:r w:rsidR="00D37DC0" w:rsidRPr="00D37DC0">
        <w:rPr>
          <w:lang w:val="en-IE"/>
        </w:rPr>
        <w:t>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FF3FD09" w14:textId="0A06E547" w:rsidR="00D37DC0" w:rsidRPr="000B7249" w:rsidRDefault="00D37DC0" w:rsidP="00B11249">
      <w:pPr>
        <w:rPr>
          <w:lang w:val="en-IE"/>
        </w:rPr>
      </w:pPr>
      <w:r w:rsidRPr="00D37DC0">
        <w:rPr>
          <w:lang w:val="en-IE"/>
        </w:rPr>
        <w:t>The Contracting Authority will have the right to publicise or otherwise disclose to any third-party information regarding this process and the agreement.</w:t>
      </w:r>
    </w:p>
    <w:p w14:paraId="13243BAA" w14:textId="76D67DCD" w:rsidR="00B34DD2" w:rsidRPr="000B7249" w:rsidRDefault="00B34DD2" w:rsidP="00B11249">
      <w:pPr>
        <w:pStyle w:val="Heading2"/>
        <w:jc w:val="both"/>
      </w:pPr>
      <w:bookmarkStart w:id="91" w:name="_Toc72957343"/>
      <w:r w:rsidRPr="000B7249">
        <w:t>Tax Clearance Certificate</w:t>
      </w:r>
      <w:bookmarkEnd w:id="88"/>
      <w:bookmarkEnd w:id="89"/>
      <w:bookmarkEnd w:id="91"/>
    </w:p>
    <w:p w14:paraId="7011B555" w14:textId="33BB219F" w:rsidR="00B53B2B" w:rsidRPr="000B7249" w:rsidRDefault="00B53B2B" w:rsidP="00B11249">
      <w:pPr>
        <w:spacing w:before="0"/>
        <w:rPr>
          <w:lang w:val="en-IE"/>
        </w:rPr>
      </w:pPr>
      <w:bookmarkStart w:id="92" w:name="_Toc195681215"/>
      <w:bookmarkStart w:id="93" w:name="_Toc195673935"/>
      <w:bookmarkStart w:id="94" w:name="_Toc195672590"/>
      <w:bookmarkStart w:id="95" w:name="_Toc191097903"/>
      <w:bookmarkStart w:id="96" w:name="_Toc391403807"/>
      <w:bookmarkStart w:id="97" w:name="_Toc217713506"/>
      <w:r w:rsidRPr="000B7249">
        <w:rPr>
          <w:lang w:val="en-IE"/>
        </w:rPr>
        <w:t xml:space="preserve">It will be a condition of award of this </w:t>
      </w:r>
      <w:r w:rsidR="005E219A" w:rsidRPr="000B7249">
        <w:rPr>
          <w:lang w:val="en-IE"/>
        </w:rPr>
        <w:t xml:space="preserve">contract </w:t>
      </w:r>
      <w:r w:rsidRPr="000B7249">
        <w:rPr>
          <w:lang w:val="en-IE"/>
        </w:rPr>
        <w:t xml:space="preserve">and any subsequent contract that the successful </w:t>
      </w:r>
      <w:r w:rsidR="00BF38CF" w:rsidRPr="000B7249">
        <w:rPr>
          <w:lang w:val="en-IE"/>
        </w:rPr>
        <w:t>economic operator</w:t>
      </w:r>
      <w:r w:rsidRPr="000B7249">
        <w:rPr>
          <w:lang w:val="en-IE"/>
        </w:rPr>
        <w:t xml:space="preserve">(s) comply with all EU and national tax laws.  </w:t>
      </w:r>
      <w:r w:rsidR="00BF38CF" w:rsidRPr="000B7249">
        <w:rPr>
          <w:lang w:val="en-IE"/>
        </w:rPr>
        <w:t>Economic operator</w:t>
      </w:r>
      <w:r w:rsidRPr="000B7249">
        <w:rPr>
          <w:lang w:val="en-IE"/>
        </w:rPr>
        <w:t xml:space="preserve">s are referred to the Irish Revenue web site </w:t>
      </w:r>
      <w:hyperlink r:id="rId17" w:history="1">
        <w:r w:rsidR="00ED51DC" w:rsidRPr="00285FC5">
          <w:rPr>
            <w:rStyle w:val="Hyperlink"/>
            <w:rFonts w:cs="Arial"/>
            <w:lang w:val="en-IE"/>
          </w:rPr>
          <w:t>http://www.revenue.ie</w:t>
        </w:r>
      </w:hyperlink>
      <w:r w:rsidRPr="000B7249">
        <w:rPr>
          <w:lang w:val="en-IE"/>
        </w:rPr>
        <w:t xml:space="preserve">. Non-resident </w:t>
      </w:r>
      <w:r w:rsidR="00BF38CF" w:rsidRPr="000B7249">
        <w:rPr>
          <w:lang w:val="en-IE"/>
        </w:rPr>
        <w:t>economic operator</w:t>
      </w:r>
      <w:r w:rsidRPr="000B7249">
        <w:rPr>
          <w:lang w:val="en-IE"/>
        </w:rPr>
        <w:t>s should apply to the Office of</w:t>
      </w:r>
      <w:r w:rsidR="00A718E2" w:rsidRPr="000B7249">
        <w:rPr>
          <w:lang w:val="en-IE"/>
        </w:rPr>
        <w:t xml:space="preserve"> the Revenue Commissioners, Non-</w:t>
      </w:r>
      <w:r w:rsidRPr="000B7249">
        <w:rPr>
          <w:lang w:val="en-IE"/>
        </w:rPr>
        <w:t xml:space="preserve">Resident Tax Clearance Unit, Office of the Collector General, Sarsfield House, Francis Street, Limerick, Ireland; e-mail: </w:t>
      </w:r>
      <w:hyperlink r:id="rId18" w:history="1">
        <w:r w:rsidRPr="000B7249">
          <w:rPr>
            <w:rStyle w:val="Hyperlink"/>
            <w:rFonts w:cs="Arial"/>
            <w:lang w:val="en-IE"/>
          </w:rPr>
          <w:t>nonrestaxclearance@revenue.ie</w:t>
        </w:r>
      </w:hyperlink>
      <w:r w:rsidRPr="000B7249">
        <w:rPr>
          <w:lang w:val="en-IE"/>
        </w:rPr>
        <w:t xml:space="preserve">.   </w:t>
      </w:r>
      <w:r w:rsidR="00F7228C" w:rsidRPr="000B7249">
        <w:rPr>
          <w:lang w:val="en-IE"/>
        </w:rPr>
        <w:t xml:space="preserve"> </w:t>
      </w:r>
      <w:r w:rsidRPr="000B7249">
        <w:rPr>
          <w:lang w:val="en-IE"/>
        </w:rPr>
        <w:t xml:space="preserve"> </w:t>
      </w:r>
      <w:r w:rsidR="00F7228C" w:rsidRPr="000B7249">
        <w:rPr>
          <w:lang w:val="en-IE"/>
        </w:rPr>
        <w:t xml:space="preserve"> </w:t>
      </w:r>
    </w:p>
    <w:p w14:paraId="72667024" w14:textId="77777777" w:rsidR="00B34DD2" w:rsidRPr="000B7249" w:rsidRDefault="00B34DD2" w:rsidP="00B11249">
      <w:pPr>
        <w:pStyle w:val="Heading2"/>
        <w:jc w:val="both"/>
      </w:pPr>
      <w:bookmarkStart w:id="98" w:name="_Toc72957344"/>
      <w:r w:rsidRPr="000B7249">
        <w:t>Withholding Tax</w:t>
      </w:r>
      <w:bookmarkEnd w:id="92"/>
      <w:bookmarkEnd w:id="93"/>
      <w:bookmarkEnd w:id="94"/>
      <w:bookmarkEnd w:id="95"/>
      <w:bookmarkEnd w:id="96"/>
      <w:bookmarkEnd w:id="98"/>
    </w:p>
    <w:p w14:paraId="5EE9156E" w14:textId="421DF456" w:rsidR="00B34DD2" w:rsidRDefault="004A3698" w:rsidP="00B11249">
      <w:pPr>
        <w:spacing w:before="0"/>
        <w:rPr>
          <w:lang w:val="en-IE"/>
        </w:rPr>
      </w:pPr>
      <w:r w:rsidRPr="000B7249">
        <w:rPr>
          <w:lang w:val="en-IE"/>
        </w:rPr>
        <w:t>Relevant p</w:t>
      </w:r>
      <w:r w:rsidR="00B34DD2" w:rsidRPr="000B7249">
        <w:rPr>
          <w:lang w:val="en-IE"/>
        </w:rPr>
        <w:t xml:space="preserve">ayments shall be subject to Irish ‘Professional Services Withholding Tax’ at the prevailing rate (currently at 20%) as laid down by the Revenue Commissioners in Ireland. Non-residents may be able to reclaim such deducted Tax from the Office of the Revenue </w:t>
      </w:r>
      <w:r w:rsidR="00B34DD2" w:rsidRPr="000B7249">
        <w:rPr>
          <w:lang w:val="en-IE"/>
        </w:rPr>
        <w:lastRenderedPageBreak/>
        <w:t xml:space="preserve">Commissioners in Ireland, International Claims Section located currently at Government Buildings, Nenagh, Co. Tipperary, Ireland (Tel: </w:t>
      </w:r>
      <w:r w:rsidR="007B6257" w:rsidRPr="000B7249">
        <w:rPr>
          <w:lang w:val="en-IE"/>
        </w:rPr>
        <w:t>+353-67-63400</w:t>
      </w:r>
      <w:r w:rsidR="00B34DD2" w:rsidRPr="000B7249">
        <w:rPr>
          <w:lang w:val="en-IE"/>
        </w:rPr>
        <w:t>).</w:t>
      </w:r>
    </w:p>
    <w:p w14:paraId="12335BFD" w14:textId="19E9DB9B" w:rsidR="00590DF7" w:rsidRDefault="00590DF7" w:rsidP="00B11249">
      <w:pPr>
        <w:pStyle w:val="Heading2"/>
        <w:jc w:val="both"/>
      </w:pPr>
      <w:bookmarkStart w:id="99" w:name="_Toc72957345"/>
      <w:r>
        <w:t xml:space="preserve">Irish </w:t>
      </w:r>
      <w:r w:rsidRPr="00590DF7">
        <w:t>Legislation and Law</w:t>
      </w:r>
      <w:bookmarkEnd w:id="99"/>
    </w:p>
    <w:p w14:paraId="3B9A97AF" w14:textId="09471238" w:rsidR="00590DF7" w:rsidRDefault="007A7F38" w:rsidP="00B11249">
      <w:pPr>
        <w:spacing w:before="0"/>
        <w:rPr>
          <w:lang w:val="en-IE"/>
        </w:rPr>
      </w:pPr>
      <w:r>
        <w:rPr>
          <w:lang w:val="en-IE"/>
        </w:rPr>
        <w:t>Economic Operators</w:t>
      </w:r>
      <w:r w:rsidR="00590DF7">
        <w:rPr>
          <w:lang w:val="en-IE"/>
        </w:rPr>
        <w:t xml:space="preserve"> </w:t>
      </w:r>
      <w:r w:rsidR="00590DF7" w:rsidRPr="00590DF7">
        <w:rPr>
          <w:lang w:val="en-IE"/>
        </w:rPr>
        <w:t>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w:t>
      </w:r>
      <w:r w:rsidR="00590DF7">
        <w:rPr>
          <w:lang w:val="en-IE"/>
        </w:rPr>
        <w:t>(</w:t>
      </w:r>
      <w:r w:rsidR="00590DF7" w:rsidRPr="00590DF7">
        <w:rPr>
          <w:lang w:val="en-IE"/>
        </w:rPr>
        <w:t>s</w:t>
      </w:r>
      <w:r w:rsidR="00590DF7">
        <w:rPr>
          <w:lang w:val="en-IE"/>
        </w:rPr>
        <w:t>)</w:t>
      </w:r>
      <w:r w:rsidR="00590DF7" w:rsidRPr="00590DF7">
        <w:rPr>
          <w:lang w:val="en-IE"/>
        </w:rPr>
        <w:t xml:space="preserve"> awarded on foot of this tender process will be governed by Irish law.</w:t>
      </w:r>
    </w:p>
    <w:p w14:paraId="1187A27F" w14:textId="63AF53B1" w:rsidR="00590DF7" w:rsidRDefault="00590DF7" w:rsidP="00B11249">
      <w:pPr>
        <w:pStyle w:val="Heading2"/>
        <w:jc w:val="both"/>
      </w:pPr>
      <w:bookmarkStart w:id="100" w:name="_Toc72957346"/>
      <w:r>
        <w:t>Dignity at Work</w:t>
      </w:r>
      <w:bookmarkEnd w:id="100"/>
    </w:p>
    <w:p w14:paraId="23A5F67D" w14:textId="6DF05376" w:rsidR="00590DF7" w:rsidRPr="00590DF7" w:rsidRDefault="00590DF7" w:rsidP="00B11249">
      <w:pPr>
        <w:spacing w:before="0"/>
        <w:rPr>
          <w:lang w:val="en-IE"/>
        </w:rPr>
      </w:pPr>
      <w:r>
        <w:rPr>
          <w:lang w:val="en-IE"/>
        </w:rPr>
        <w:t xml:space="preserve">The </w:t>
      </w:r>
      <w:r w:rsidRPr="00590DF7">
        <w:rPr>
          <w:lang w:val="en-IE"/>
        </w:rPr>
        <w:t xml:space="preserve">successful </w:t>
      </w:r>
      <w:r w:rsidR="007A7F38">
        <w:rPr>
          <w:lang w:val="en-IE"/>
        </w:rPr>
        <w:t>economic operator</w:t>
      </w:r>
      <w:r w:rsidRPr="00590DF7">
        <w:rPr>
          <w:lang w:val="en-IE"/>
        </w:rPr>
        <w:t xml:space="preserve">(s) shall comply with all relevant legislation relating to dignity at work. As a public body and employer, the Contracting Authority is committed to a policy of equality of opportunity for all personnel.   </w:t>
      </w:r>
    </w:p>
    <w:p w14:paraId="582A8916" w14:textId="30EDE0D1" w:rsidR="00590DF7" w:rsidRPr="000B7249" w:rsidRDefault="00590DF7" w:rsidP="00B11249">
      <w:pPr>
        <w:spacing w:before="0"/>
        <w:rPr>
          <w:lang w:val="en-IE"/>
        </w:rPr>
      </w:pPr>
      <w:r w:rsidRPr="00590DF7">
        <w:rPr>
          <w:lang w:val="en-IE"/>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3D22E5D8" w14:textId="13D6E6B4" w:rsidR="00B34DD2" w:rsidRPr="000B7249" w:rsidRDefault="00B34DD2" w:rsidP="00B11249">
      <w:pPr>
        <w:pStyle w:val="Heading2"/>
        <w:jc w:val="both"/>
      </w:pPr>
      <w:bookmarkStart w:id="101" w:name="_Toc217713510"/>
      <w:bookmarkStart w:id="102" w:name="_Toc391403809"/>
      <w:bookmarkStart w:id="103" w:name="_Toc72957347"/>
      <w:bookmarkEnd w:id="97"/>
      <w:r w:rsidRPr="000B7249">
        <w:t>Interference and Inducement to Purchase</w:t>
      </w:r>
      <w:bookmarkEnd w:id="101"/>
      <w:bookmarkEnd w:id="102"/>
      <w:bookmarkEnd w:id="103"/>
    </w:p>
    <w:p w14:paraId="7ED85F7E" w14:textId="2AF79E2B" w:rsidR="00B34DD2" w:rsidRPr="000B7249" w:rsidRDefault="00B34DD2" w:rsidP="00B11249">
      <w:pPr>
        <w:spacing w:before="0"/>
        <w:rPr>
          <w:lang w:val="en-IE"/>
        </w:rPr>
      </w:pPr>
      <w:r w:rsidRPr="000B7249">
        <w:rPr>
          <w:lang w:val="en-IE"/>
        </w:rPr>
        <w:t xml:space="preserve">Any effort by the </w:t>
      </w:r>
      <w:r w:rsidR="00BF38CF" w:rsidRPr="000B7249">
        <w:rPr>
          <w:lang w:val="en-IE"/>
        </w:rPr>
        <w:t>economic operator</w:t>
      </w:r>
      <w:r w:rsidRPr="000B7249">
        <w:rPr>
          <w:lang w:val="en-IE"/>
        </w:rPr>
        <w:t xml:space="preserve"> to unduly influence </w:t>
      </w:r>
      <w:r w:rsidR="00E621EB" w:rsidRPr="000B7249">
        <w:rPr>
          <w:lang w:val="en-IE"/>
        </w:rPr>
        <w:t>t</w:t>
      </w:r>
      <w:r w:rsidR="00CF3D4E" w:rsidRPr="000B7249">
        <w:rPr>
          <w:lang w:val="en-IE"/>
        </w:rPr>
        <w:t>he Contracting Authority</w:t>
      </w:r>
      <w:r w:rsidRPr="000B7249">
        <w:rPr>
          <w:lang w:val="en-IE"/>
        </w:rPr>
        <w:t xml:space="preserve">, relevant agency personnel or any other relevant persons or bodies in the process of examination, clarification, evaluation and comparison of </w:t>
      </w:r>
      <w:r w:rsidR="00426126" w:rsidRPr="000B7249">
        <w:rPr>
          <w:lang w:val="en-IE"/>
        </w:rPr>
        <w:t>quotation</w:t>
      </w:r>
      <w:r w:rsidRPr="000B7249">
        <w:rPr>
          <w:lang w:val="en-IE"/>
        </w:rPr>
        <w:t xml:space="preserve">s and in decisions concerning the Award of Contract shall have their </w:t>
      </w:r>
      <w:r w:rsidR="00426126" w:rsidRPr="000B7249">
        <w:rPr>
          <w:lang w:val="en-IE"/>
        </w:rPr>
        <w:t>quotation</w:t>
      </w:r>
      <w:r w:rsidRPr="000B7249">
        <w:rPr>
          <w:lang w:val="en-IE"/>
        </w:rPr>
        <w:t xml:space="preserve"> rejected. </w:t>
      </w:r>
      <w:r w:rsidR="006B611D" w:rsidRPr="006B611D">
        <w:rPr>
          <w:lang w:val="en-IE"/>
        </w:rPr>
        <w:t>The presumptions (including as to any gift, consideration or advantage) and other provisions under the Criminal Justice Act 2018, and all other measures for the time being governing the subject-matter in any applicable jurisdiction, shall be applicable.</w:t>
      </w:r>
    </w:p>
    <w:p w14:paraId="4DD45551" w14:textId="77777777" w:rsidR="00B34DD2" w:rsidRPr="000B7249" w:rsidRDefault="00B34DD2" w:rsidP="00B11249">
      <w:pPr>
        <w:pStyle w:val="Heading2"/>
        <w:jc w:val="both"/>
      </w:pPr>
      <w:bookmarkStart w:id="104" w:name="_Toc217713511"/>
      <w:bookmarkStart w:id="105" w:name="_Toc391403810"/>
      <w:bookmarkStart w:id="106" w:name="_Toc72957348"/>
      <w:r w:rsidRPr="000B7249">
        <w:t>Notification of Evaluations</w:t>
      </w:r>
      <w:bookmarkEnd w:id="104"/>
      <w:bookmarkEnd w:id="105"/>
      <w:bookmarkEnd w:id="106"/>
    </w:p>
    <w:p w14:paraId="65D9D7AB" w14:textId="185A5C2C" w:rsidR="00B34DD2" w:rsidRPr="000B7249" w:rsidRDefault="00B34DD2" w:rsidP="00B11249">
      <w:pPr>
        <w:spacing w:before="0"/>
        <w:rPr>
          <w:lang w:val="en-IE"/>
        </w:rPr>
      </w:pPr>
      <w:r w:rsidRPr="000B7249">
        <w:rPr>
          <w:lang w:val="en-IE"/>
        </w:rPr>
        <w:t>All parties will be informed of the outcome of their proposals following evaluation and any necessary clarificati</w:t>
      </w:r>
      <w:bookmarkStart w:id="107" w:name="_Toc217713513"/>
      <w:r w:rsidRPr="000B7249">
        <w:rPr>
          <w:lang w:val="en-IE"/>
        </w:rPr>
        <w:t>ons.</w:t>
      </w:r>
      <w:r w:rsidR="00DB78F7">
        <w:rPr>
          <w:lang w:val="en-IE"/>
        </w:rPr>
        <w:t xml:space="preserve"> </w:t>
      </w:r>
      <w:r w:rsidR="00DB78F7" w:rsidRPr="00DB78F7">
        <w:rPr>
          <w:lang w:val="en-IE"/>
        </w:rPr>
        <w:t>All information regarding the evaluation process or potential outcomes shall remain confidential until after the conclusion of the tender process</w:t>
      </w:r>
      <w:r w:rsidR="00DB78F7">
        <w:rPr>
          <w:lang w:val="en-IE"/>
        </w:rPr>
        <w:t>.</w:t>
      </w:r>
    </w:p>
    <w:p w14:paraId="08A01416" w14:textId="77777777" w:rsidR="00B34DD2" w:rsidRPr="000B7249" w:rsidRDefault="00B34DD2" w:rsidP="00B11249">
      <w:pPr>
        <w:pStyle w:val="Heading2"/>
        <w:jc w:val="both"/>
      </w:pPr>
      <w:bookmarkStart w:id="108" w:name="_Toc195681229"/>
      <w:bookmarkStart w:id="109" w:name="_Toc195673949"/>
      <w:bookmarkStart w:id="110" w:name="_Toc195672605"/>
      <w:bookmarkStart w:id="111" w:name="_Toc391403813"/>
      <w:bookmarkStart w:id="112" w:name="_Toc72957349"/>
      <w:bookmarkEnd w:id="107"/>
      <w:r w:rsidRPr="000B7249">
        <w:t>Replacement Personnel</w:t>
      </w:r>
      <w:bookmarkEnd w:id="108"/>
      <w:bookmarkEnd w:id="109"/>
      <w:bookmarkEnd w:id="110"/>
      <w:bookmarkEnd w:id="111"/>
      <w:bookmarkEnd w:id="112"/>
    </w:p>
    <w:p w14:paraId="002F3F93" w14:textId="192AAC1D" w:rsidR="00B34DD2" w:rsidRPr="000B7249" w:rsidRDefault="00B34DD2" w:rsidP="00B11249">
      <w:pPr>
        <w:spacing w:before="0"/>
        <w:rPr>
          <w:lang w:val="en-IE"/>
        </w:rPr>
      </w:pPr>
      <w:r w:rsidRPr="000B7249">
        <w:rPr>
          <w:lang w:val="en-IE"/>
        </w:rPr>
        <w:t>Notification must be sent in writing</w:t>
      </w:r>
      <w:r w:rsidR="003D24E7" w:rsidRPr="000B7249">
        <w:rPr>
          <w:lang w:val="en-IE"/>
        </w:rPr>
        <w:t xml:space="preserve"> (by post or electronic means) </w:t>
      </w:r>
      <w:r w:rsidRPr="000B7249">
        <w:rPr>
          <w:lang w:val="en-IE"/>
        </w:rPr>
        <w:t xml:space="preserve">as soon as possible to </w:t>
      </w:r>
      <w:r w:rsidR="00E621EB" w:rsidRPr="000B7249">
        <w:rPr>
          <w:lang w:val="en-IE"/>
        </w:rPr>
        <w:t>t</w:t>
      </w:r>
      <w:r w:rsidR="00CF3D4E" w:rsidRPr="000B7249">
        <w:rPr>
          <w:lang w:val="en-IE"/>
        </w:rPr>
        <w:t>he Contracting Authority</w:t>
      </w:r>
      <w:r w:rsidRPr="000B7249">
        <w:rPr>
          <w:lang w:val="en-IE"/>
        </w:rPr>
        <w:t xml:space="preserve"> on any proposed change of nominated personnel, such change to be subject to the written approval of </w:t>
      </w:r>
      <w:r w:rsidR="00E621EB" w:rsidRPr="000B7249">
        <w:rPr>
          <w:lang w:val="en-IE"/>
        </w:rPr>
        <w:t>t</w:t>
      </w:r>
      <w:r w:rsidR="00CF3D4E" w:rsidRPr="000B7249">
        <w:rPr>
          <w:lang w:val="en-IE"/>
        </w:rPr>
        <w:t>he Contracting Authority</w:t>
      </w:r>
      <w:r w:rsidRPr="000B7249">
        <w:rPr>
          <w:lang w:val="en-IE"/>
        </w:rPr>
        <w:t xml:space="preserve">.  Replacement personnel must be of equal or better standing that the existing personnel in terms of qualifications and experience. </w:t>
      </w:r>
    </w:p>
    <w:p w14:paraId="2FA6AAFE" w14:textId="77777777" w:rsidR="00B34DD2" w:rsidRPr="000B7249" w:rsidRDefault="00B34DD2" w:rsidP="00B11249">
      <w:pPr>
        <w:pStyle w:val="Heading2"/>
        <w:jc w:val="both"/>
      </w:pPr>
      <w:bookmarkStart w:id="113" w:name="_Toc195681230"/>
      <w:bookmarkStart w:id="114" w:name="_Toc195673950"/>
      <w:bookmarkStart w:id="115" w:name="_Toc195672606"/>
      <w:bookmarkStart w:id="116" w:name="_Toc391403814"/>
      <w:bookmarkStart w:id="117" w:name="_Toc72957350"/>
      <w:r w:rsidRPr="000B7249">
        <w:lastRenderedPageBreak/>
        <w:t>Copyright</w:t>
      </w:r>
      <w:bookmarkEnd w:id="113"/>
      <w:bookmarkEnd w:id="114"/>
      <w:bookmarkEnd w:id="115"/>
      <w:bookmarkEnd w:id="116"/>
      <w:bookmarkEnd w:id="117"/>
    </w:p>
    <w:p w14:paraId="27FA9BC8" w14:textId="6220FE17" w:rsidR="00B34DD2" w:rsidRDefault="00CF3D4E" w:rsidP="00B11249">
      <w:pPr>
        <w:spacing w:before="0"/>
        <w:rPr>
          <w:lang w:val="en-IE"/>
        </w:rPr>
      </w:pPr>
      <w:r w:rsidRPr="000B7249">
        <w:rPr>
          <w:lang w:val="en-IE"/>
        </w:rPr>
        <w:t>The Contracting Authority</w:t>
      </w:r>
      <w:r w:rsidR="00B34DD2" w:rsidRPr="000B7249">
        <w:rPr>
          <w:lang w:val="en-IE"/>
        </w:rPr>
        <w:t xml:space="preserve"> will have copyright ownership of any material developed for use by </w:t>
      </w:r>
      <w:r w:rsidR="00E621EB" w:rsidRPr="000B7249">
        <w:rPr>
          <w:lang w:val="en-IE"/>
        </w:rPr>
        <w:t>t</w:t>
      </w:r>
      <w:r w:rsidRPr="000B7249">
        <w:rPr>
          <w:lang w:val="en-IE"/>
        </w:rPr>
        <w:t>he Contracting Authority</w:t>
      </w:r>
      <w:r w:rsidR="00B34DD2" w:rsidRPr="000B7249">
        <w:rPr>
          <w:lang w:val="en-IE"/>
        </w:rPr>
        <w:t xml:space="preserve"> under the terms of this </w:t>
      </w:r>
      <w:r w:rsidR="00426126" w:rsidRPr="000B7249">
        <w:rPr>
          <w:lang w:val="en-IE"/>
        </w:rPr>
        <w:t>quotation</w:t>
      </w:r>
      <w:r w:rsidR="00B34DD2" w:rsidRPr="000B7249">
        <w:rPr>
          <w:lang w:val="en-IE"/>
        </w:rPr>
        <w:t xml:space="preserve">. The </w:t>
      </w:r>
      <w:r w:rsidR="00232712">
        <w:rPr>
          <w:lang w:val="en-IE"/>
        </w:rPr>
        <w:t>successful tenderer</w:t>
      </w:r>
      <w:r w:rsidR="00B34DD2" w:rsidRPr="000B7249">
        <w:rPr>
          <w:lang w:val="en-IE"/>
        </w:rPr>
        <w:t xml:space="preserve"> may have a non-exclusive licence to use such material but only for its own purposes (</w:t>
      </w:r>
      <w:r w:rsidR="00232712">
        <w:rPr>
          <w:lang w:val="en-IE"/>
        </w:rPr>
        <w:t>subject to agreement)</w:t>
      </w:r>
      <w:r w:rsidR="0057703F" w:rsidRPr="000B7249">
        <w:rPr>
          <w:lang w:val="en-IE"/>
        </w:rPr>
        <w:t xml:space="preserve">. </w:t>
      </w:r>
    </w:p>
    <w:p w14:paraId="26C09FE9" w14:textId="3236C49B" w:rsidR="008B13B2" w:rsidRDefault="008B13B2" w:rsidP="00B11249">
      <w:pPr>
        <w:pStyle w:val="Heading2"/>
        <w:jc w:val="both"/>
      </w:pPr>
      <w:bookmarkStart w:id="118" w:name="_Toc72957351"/>
      <w:r>
        <w:t>Brand Names, etc.</w:t>
      </w:r>
      <w:bookmarkEnd w:id="118"/>
    </w:p>
    <w:p w14:paraId="7A2131E4" w14:textId="0C46038F" w:rsidR="008B13B2" w:rsidRPr="000B7249" w:rsidRDefault="008B13B2" w:rsidP="00B11249">
      <w:pPr>
        <w:spacing w:before="0"/>
        <w:rPr>
          <w:lang w:val="en-IE"/>
        </w:rPr>
      </w:pPr>
      <w:r>
        <w:rPr>
          <w:lang w:val="en-IE"/>
        </w:rPr>
        <w:t xml:space="preserve">Please </w:t>
      </w:r>
      <w:r w:rsidRPr="008B13B2">
        <w:rPr>
          <w:lang w:val="en-IE"/>
        </w:rPr>
        <w:t xml:space="preserve">note in relation to this tender document; where reference is made to a particular make, source, process, trademark, type or patent, that this is not to be regarded as a de facto requirement.  In all such cases </w:t>
      </w:r>
      <w:proofErr w:type="gramStart"/>
      <w:r w:rsidRPr="008B13B2">
        <w:rPr>
          <w:lang w:val="en-IE"/>
        </w:rPr>
        <w:t>it should be understood that the</w:t>
      </w:r>
      <w:proofErr w:type="gramEnd"/>
      <w:r w:rsidRPr="008B13B2">
        <w:rPr>
          <w:lang w:val="en-IE"/>
        </w:rPr>
        <w:t xml:space="preserve"> reference in question is accompanied by the words "or equivalent”.</w:t>
      </w:r>
    </w:p>
    <w:p w14:paraId="066C5435" w14:textId="1EE8B922" w:rsidR="0047753E" w:rsidRPr="000B7249" w:rsidRDefault="0047753E" w:rsidP="00B11249">
      <w:pPr>
        <w:pStyle w:val="Heading2"/>
        <w:jc w:val="both"/>
      </w:pPr>
      <w:bookmarkStart w:id="119" w:name="_Toc72957352"/>
      <w:r w:rsidRPr="000B7249">
        <w:t>Responsibility of Successful Party</w:t>
      </w:r>
      <w:bookmarkEnd w:id="119"/>
    </w:p>
    <w:p w14:paraId="04E72836" w14:textId="19F6B477" w:rsidR="0047753E" w:rsidRPr="000B7249" w:rsidRDefault="0047753E" w:rsidP="00B11249">
      <w:pPr>
        <w:spacing w:before="0"/>
        <w:rPr>
          <w:lang w:val="en-IE"/>
        </w:rPr>
      </w:pPr>
      <w:r w:rsidRPr="000B7249">
        <w:rPr>
          <w:lang w:val="en-IE"/>
        </w:rPr>
        <w:t>As a condition of award, it shall be the sole responsibility of the tenderer (in the event of success</w:t>
      </w:r>
      <w:r w:rsidR="0000739B" w:rsidRPr="000B7249">
        <w:rPr>
          <w:lang w:val="en-IE"/>
        </w:rPr>
        <w:t xml:space="preserve"> in this competition) to fulfil</w:t>
      </w:r>
      <w:r w:rsidRPr="000B7249">
        <w:rPr>
          <w:lang w:val="en-IE"/>
        </w:rPr>
        <w:t xml:space="preserve"> the obligations under the Contract, notwithstanding any changes in circulars, laws, regulations, taxation, duties or other factors which might arise following the withdrawal of the United Kingdom from membership of the EU.</w:t>
      </w:r>
    </w:p>
    <w:p w14:paraId="0D4905B9" w14:textId="50938E8A" w:rsidR="00F7228C" w:rsidRPr="000B7249" w:rsidRDefault="00F7228C" w:rsidP="00B11249">
      <w:pPr>
        <w:spacing w:before="0"/>
        <w:rPr>
          <w:iCs/>
          <w:lang w:val="en-IE"/>
        </w:rPr>
      </w:pPr>
    </w:p>
    <w:sectPr w:rsidR="00F7228C" w:rsidRPr="000B7249" w:rsidSect="00D77ADC">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3228" w14:textId="77777777" w:rsidR="00670FF5" w:rsidRDefault="00670FF5" w:rsidP="008079B6">
      <w:r>
        <w:separator/>
      </w:r>
    </w:p>
  </w:endnote>
  <w:endnote w:type="continuationSeparator" w:id="0">
    <w:p w14:paraId="3D5FEC82" w14:textId="77777777" w:rsidR="00670FF5" w:rsidRDefault="00670FF5"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763179786"/>
      <w:docPartObj>
        <w:docPartGallery w:val="Page Numbers (Bottom of Page)"/>
        <w:docPartUnique/>
      </w:docPartObj>
    </w:sdtPr>
    <w:sdtEndPr>
      <w:rPr>
        <w:noProof/>
      </w:rPr>
    </w:sdtEndPr>
    <w:sdtContent>
      <w:p w14:paraId="1836832E" w14:textId="1BF2717C" w:rsidR="00C7511F" w:rsidRPr="000111EF" w:rsidRDefault="00C7511F" w:rsidP="000111EF">
        <w:pPr>
          <w:pStyle w:val="Footer"/>
          <w:tabs>
            <w:tab w:val="clear" w:pos="8306"/>
          </w:tabs>
          <w:rPr>
            <w:rFonts w:ascii="Arial" w:hAnsi="Arial"/>
          </w:rPr>
        </w:pPr>
        <w:r w:rsidRPr="000111EF">
          <w:rPr>
            <w:rFonts w:ascii="Arial" w:hAnsi="Arial"/>
          </w:rPr>
          <w:t xml:space="preserve">Page | </w:t>
        </w:r>
        <w:r w:rsidRPr="000111EF">
          <w:rPr>
            <w:rFonts w:ascii="Arial" w:hAnsi="Arial"/>
          </w:rPr>
          <w:fldChar w:fldCharType="begin"/>
        </w:r>
        <w:r w:rsidRPr="000111EF">
          <w:rPr>
            <w:rFonts w:ascii="Arial" w:hAnsi="Arial"/>
          </w:rPr>
          <w:instrText xml:space="preserve"> PAGE   \* MERGEFORMAT </w:instrText>
        </w:r>
        <w:r w:rsidRPr="000111EF">
          <w:rPr>
            <w:rFonts w:ascii="Arial" w:hAnsi="Arial"/>
          </w:rPr>
          <w:fldChar w:fldCharType="separate"/>
        </w:r>
        <w:r>
          <w:rPr>
            <w:rFonts w:ascii="Arial" w:hAnsi="Arial"/>
            <w:noProof/>
          </w:rPr>
          <w:t>1</w:t>
        </w:r>
        <w:r w:rsidRPr="000111EF">
          <w:rPr>
            <w:rFonts w:ascii="Arial" w:hAnsi="Arial"/>
            <w:noProof/>
          </w:rPr>
          <w:fldChar w:fldCharType="end"/>
        </w:r>
        <w:r w:rsidRPr="000111EF">
          <w:rPr>
            <w:rFonts w:ascii="Arial" w:hAnsi="Arial"/>
            <w:noProof/>
          </w:rPr>
          <w:tab/>
        </w:r>
        <w:r w:rsidRPr="000111EF">
          <w:rPr>
            <w:rFonts w:ascii="Arial" w:hAnsi="Arial"/>
            <w:noProof/>
          </w:rPr>
          <w:tab/>
        </w:r>
        <w:r w:rsidRPr="000111EF">
          <w:rPr>
            <w:rFonts w:ascii="Arial" w:hAnsi="Arial"/>
            <w:noProof/>
          </w:rPr>
          <w:tab/>
        </w:r>
      </w:p>
    </w:sdtContent>
  </w:sdt>
  <w:p w14:paraId="2AC7EFD3" w14:textId="7531F2A4" w:rsidR="00C7511F" w:rsidRDefault="00C7511F"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A42A" w14:textId="77777777" w:rsidR="00670FF5" w:rsidRDefault="00670FF5" w:rsidP="008079B6">
      <w:r>
        <w:separator/>
      </w:r>
    </w:p>
  </w:footnote>
  <w:footnote w:type="continuationSeparator" w:id="0">
    <w:p w14:paraId="4D726675" w14:textId="77777777" w:rsidR="00670FF5" w:rsidRDefault="00670FF5"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AC8C" w14:textId="7BFFEDF8" w:rsidR="00C7511F" w:rsidRDefault="00C7511F" w:rsidP="008079B6">
    <w:pPr>
      <w:pStyle w:val="Header"/>
    </w:pPr>
    <w:r>
      <w:t xml:space="preserve">Request for Quotation </w:t>
    </w:r>
  </w:p>
  <w:p w14:paraId="1AB87F77" w14:textId="53617993" w:rsidR="00C7511F" w:rsidRPr="00E84E82" w:rsidRDefault="00C7511F"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E28"/>
    <w:multiLevelType w:val="hybridMultilevel"/>
    <w:tmpl w:val="2FA2B5AE"/>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2D23B0"/>
    <w:multiLevelType w:val="hybridMultilevel"/>
    <w:tmpl w:val="C318F7E0"/>
    <w:lvl w:ilvl="0" w:tplc="DD440B3A">
      <w:start w:val="1"/>
      <w:numFmt w:val="lowerLetter"/>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295375D"/>
    <w:multiLevelType w:val="hybridMultilevel"/>
    <w:tmpl w:val="65BC5BF8"/>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4850B27"/>
    <w:multiLevelType w:val="hybridMultilevel"/>
    <w:tmpl w:val="03506C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9E21F16"/>
    <w:multiLevelType w:val="multilevel"/>
    <w:tmpl w:val="5376250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84A585F"/>
    <w:multiLevelType w:val="hybridMultilevel"/>
    <w:tmpl w:val="0346EF2A"/>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10" w15:restartNumberingAfterBreak="0">
    <w:nsid w:val="61862EA8"/>
    <w:multiLevelType w:val="hybridMultilevel"/>
    <w:tmpl w:val="A6A23300"/>
    <w:lvl w:ilvl="0" w:tplc="0A22FFBE">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83931498">
    <w:abstractNumId w:val="4"/>
  </w:num>
  <w:num w:numId="2" w16cid:durableId="388042717">
    <w:abstractNumId w:val="2"/>
  </w:num>
  <w:num w:numId="3" w16cid:durableId="445008321">
    <w:abstractNumId w:val="7"/>
  </w:num>
  <w:num w:numId="4" w16cid:durableId="897862738">
    <w:abstractNumId w:val="0"/>
  </w:num>
  <w:num w:numId="5" w16cid:durableId="1976522349">
    <w:abstractNumId w:val="1"/>
  </w:num>
  <w:num w:numId="6" w16cid:durableId="1195339411">
    <w:abstractNumId w:val="10"/>
  </w:num>
  <w:num w:numId="7" w16cid:durableId="340746069">
    <w:abstractNumId w:val="11"/>
  </w:num>
  <w:num w:numId="8" w16cid:durableId="405298850">
    <w:abstractNumId w:val="3"/>
  </w:num>
  <w:num w:numId="9" w16cid:durableId="1972318109">
    <w:abstractNumId w:val="8"/>
  </w:num>
  <w:num w:numId="10" w16cid:durableId="914556798">
    <w:abstractNumId w:val="9"/>
  </w:num>
  <w:num w:numId="11" w16cid:durableId="1743404782">
    <w:abstractNumId w:val="8"/>
  </w:num>
  <w:num w:numId="12" w16cid:durableId="1415973978">
    <w:abstractNumId w:val="8"/>
  </w:num>
  <w:num w:numId="13" w16cid:durableId="288826200">
    <w:abstractNumId w:val="8"/>
  </w:num>
  <w:num w:numId="14" w16cid:durableId="74787701">
    <w:abstractNumId w:val="8"/>
  </w:num>
  <w:num w:numId="15" w16cid:durableId="1884370438">
    <w:abstractNumId w:val="5"/>
  </w:num>
  <w:num w:numId="16" w16cid:durableId="162176187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0739B"/>
    <w:rsid w:val="000111EF"/>
    <w:rsid w:val="000277F3"/>
    <w:rsid w:val="00032162"/>
    <w:rsid w:val="0004369E"/>
    <w:rsid w:val="00044B1E"/>
    <w:rsid w:val="00051079"/>
    <w:rsid w:val="00083393"/>
    <w:rsid w:val="00083FFC"/>
    <w:rsid w:val="00086CAD"/>
    <w:rsid w:val="00090BD5"/>
    <w:rsid w:val="00094DA1"/>
    <w:rsid w:val="000962BA"/>
    <w:rsid w:val="000A14E6"/>
    <w:rsid w:val="000A2ADA"/>
    <w:rsid w:val="000A3DBD"/>
    <w:rsid w:val="000A4EAA"/>
    <w:rsid w:val="000B7249"/>
    <w:rsid w:val="000B732A"/>
    <w:rsid w:val="000C5EAB"/>
    <w:rsid w:val="000C63C4"/>
    <w:rsid w:val="000C7C64"/>
    <w:rsid w:val="000D2429"/>
    <w:rsid w:val="000D46BC"/>
    <w:rsid w:val="000D5FFC"/>
    <w:rsid w:val="000E2B6F"/>
    <w:rsid w:val="000F04AE"/>
    <w:rsid w:val="000F19B8"/>
    <w:rsid w:val="00102E61"/>
    <w:rsid w:val="00104F4E"/>
    <w:rsid w:val="001116C8"/>
    <w:rsid w:val="00140FB6"/>
    <w:rsid w:val="00152C3E"/>
    <w:rsid w:val="0015389D"/>
    <w:rsid w:val="00173AD6"/>
    <w:rsid w:val="00194CCB"/>
    <w:rsid w:val="00197179"/>
    <w:rsid w:val="001A1671"/>
    <w:rsid w:val="001A1B54"/>
    <w:rsid w:val="001A4D32"/>
    <w:rsid w:val="001B4DCE"/>
    <w:rsid w:val="001C092A"/>
    <w:rsid w:val="001D51E1"/>
    <w:rsid w:val="001F3B4F"/>
    <w:rsid w:val="00207652"/>
    <w:rsid w:val="002159AB"/>
    <w:rsid w:val="00232274"/>
    <w:rsid w:val="00232712"/>
    <w:rsid w:val="00233381"/>
    <w:rsid w:val="00247D06"/>
    <w:rsid w:val="0025027E"/>
    <w:rsid w:val="00255460"/>
    <w:rsid w:val="002670DA"/>
    <w:rsid w:val="00271CC5"/>
    <w:rsid w:val="00287CF3"/>
    <w:rsid w:val="002A3CCB"/>
    <w:rsid w:val="002A4E25"/>
    <w:rsid w:val="002B1F1F"/>
    <w:rsid w:val="002B3D79"/>
    <w:rsid w:val="002B795A"/>
    <w:rsid w:val="002C4B84"/>
    <w:rsid w:val="002D715F"/>
    <w:rsid w:val="002E103E"/>
    <w:rsid w:val="002E1593"/>
    <w:rsid w:val="002E16BF"/>
    <w:rsid w:val="002E327B"/>
    <w:rsid w:val="002F307F"/>
    <w:rsid w:val="00304F61"/>
    <w:rsid w:val="003113E7"/>
    <w:rsid w:val="00316B07"/>
    <w:rsid w:val="00331D67"/>
    <w:rsid w:val="00332B9E"/>
    <w:rsid w:val="00336A95"/>
    <w:rsid w:val="003431F4"/>
    <w:rsid w:val="00352774"/>
    <w:rsid w:val="00353BAF"/>
    <w:rsid w:val="00360B98"/>
    <w:rsid w:val="0036119F"/>
    <w:rsid w:val="00363574"/>
    <w:rsid w:val="00377F0F"/>
    <w:rsid w:val="0038017E"/>
    <w:rsid w:val="00382C16"/>
    <w:rsid w:val="00384E13"/>
    <w:rsid w:val="003A40E0"/>
    <w:rsid w:val="003B0255"/>
    <w:rsid w:val="003B7153"/>
    <w:rsid w:val="003C3236"/>
    <w:rsid w:val="003D24E7"/>
    <w:rsid w:val="003E4C65"/>
    <w:rsid w:val="003F40CB"/>
    <w:rsid w:val="003F63F5"/>
    <w:rsid w:val="00416138"/>
    <w:rsid w:val="00426126"/>
    <w:rsid w:val="004266C8"/>
    <w:rsid w:val="0046347E"/>
    <w:rsid w:val="00463E59"/>
    <w:rsid w:val="00465233"/>
    <w:rsid w:val="00471CF4"/>
    <w:rsid w:val="0047753E"/>
    <w:rsid w:val="00496AF6"/>
    <w:rsid w:val="004A3698"/>
    <w:rsid w:val="004C46D0"/>
    <w:rsid w:val="004C7FB7"/>
    <w:rsid w:val="004D4385"/>
    <w:rsid w:val="004E1A26"/>
    <w:rsid w:val="004E5C3E"/>
    <w:rsid w:val="004F23DB"/>
    <w:rsid w:val="00516FC4"/>
    <w:rsid w:val="00517173"/>
    <w:rsid w:val="005236EF"/>
    <w:rsid w:val="0053021B"/>
    <w:rsid w:val="00546E60"/>
    <w:rsid w:val="0057656C"/>
    <w:rsid w:val="0057703F"/>
    <w:rsid w:val="00577BF4"/>
    <w:rsid w:val="00580997"/>
    <w:rsid w:val="005821E3"/>
    <w:rsid w:val="00590DF7"/>
    <w:rsid w:val="0059339B"/>
    <w:rsid w:val="00597E14"/>
    <w:rsid w:val="005A2E52"/>
    <w:rsid w:val="005A6BCD"/>
    <w:rsid w:val="005B1E3C"/>
    <w:rsid w:val="005B2009"/>
    <w:rsid w:val="005B32E9"/>
    <w:rsid w:val="005C77A6"/>
    <w:rsid w:val="005C789C"/>
    <w:rsid w:val="005D095F"/>
    <w:rsid w:val="005D2020"/>
    <w:rsid w:val="005E219A"/>
    <w:rsid w:val="005E298C"/>
    <w:rsid w:val="00616934"/>
    <w:rsid w:val="006232D7"/>
    <w:rsid w:val="00632DB0"/>
    <w:rsid w:val="006354FD"/>
    <w:rsid w:val="00635965"/>
    <w:rsid w:val="00636F2C"/>
    <w:rsid w:val="006373D1"/>
    <w:rsid w:val="00646158"/>
    <w:rsid w:val="00651D76"/>
    <w:rsid w:val="00670FF5"/>
    <w:rsid w:val="006904E2"/>
    <w:rsid w:val="00692B73"/>
    <w:rsid w:val="006B611D"/>
    <w:rsid w:val="006B7AC6"/>
    <w:rsid w:val="006E0F8C"/>
    <w:rsid w:val="006F2FFD"/>
    <w:rsid w:val="006F491F"/>
    <w:rsid w:val="00704188"/>
    <w:rsid w:val="007056FD"/>
    <w:rsid w:val="00724EEF"/>
    <w:rsid w:val="00727AF3"/>
    <w:rsid w:val="00735D54"/>
    <w:rsid w:val="00742638"/>
    <w:rsid w:val="00763894"/>
    <w:rsid w:val="007769C0"/>
    <w:rsid w:val="007834D8"/>
    <w:rsid w:val="007969E0"/>
    <w:rsid w:val="0079752A"/>
    <w:rsid w:val="007A3DDC"/>
    <w:rsid w:val="007A496C"/>
    <w:rsid w:val="007A7F38"/>
    <w:rsid w:val="007B6257"/>
    <w:rsid w:val="007B6619"/>
    <w:rsid w:val="007C2752"/>
    <w:rsid w:val="007E3339"/>
    <w:rsid w:val="007E6D3E"/>
    <w:rsid w:val="007F3154"/>
    <w:rsid w:val="008006B4"/>
    <w:rsid w:val="008054BC"/>
    <w:rsid w:val="008079B6"/>
    <w:rsid w:val="00807B12"/>
    <w:rsid w:val="0082228E"/>
    <w:rsid w:val="00825853"/>
    <w:rsid w:val="00837B17"/>
    <w:rsid w:val="008427A4"/>
    <w:rsid w:val="0085591E"/>
    <w:rsid w:val="00855B3A"/>
    <w:rsid w:val="00860370"/>
    <w:rsid w:val="00861F0B"/>
    <w:rsid w:val="00862A49"/>
    <w:rsid w:val="00864532"/>
    <w:rsid w:val="00865E89"/>
    <w:rsid w:val="008815C6"/>
    <w:rsid w:val="00883764"/>
    <w:rsid w:val="008A3C06"/>
    <w:rsid w:val="008B0106"/>
    <w:rsid w:val="008B13B2"/>
    <w:rsid w:val="008B6480"/>
    <w:rsid w:val="008C22D8"/>
    <w:rsid w:val="008C31BA"/>
    <w:rsid w:val="008D309E"/>
    <w:rsid w:val="008E105C"/>
    <w:rsid w:val="008E72EB"/>
    <w:rsid w:val="0090340B"/>
    <w:rsid w:val="00905AFC"/>
    <w:rsid w:val="009106DA"/>
    <w:rsid w:val="009137A0"/>
    <w:rsid w:val="0092500A"/>
    <w:rsid w:val="00926392"/>
    <w:rsid w:val="0093381A"/>
    <w:rsid w:val="00941D8F"/>
    <w:rsid w:val="00941F99"/>
    <w:rsid w:val="009727E5"/>
    <w:rsid w:val="00972D0D"/>
    <w:rsid w:val="0099706D"/>
    <w:rsid w:val="009A60B0"/>
    <w:rsid w:val="009B1AE3"/>
    <w:rsid w:val="009B2D84"/>
    <w:rsid w:val="009B4FA0"/>
    <w:rsid w:val="009C40BA"/>
    <w:rsid w:val="009D48CA"/>
    <w:rsid w:val="009E2F6B"/>
    <w:rsid w:val="009E409D"/>
    <w:rsid w:val="009F6D00"/>
    <w:rsid w:val="00A05603"/>
    <w:rsid w:val="00A149CE"/>
    <w:rsid w:val="00A37DE5"/>
    <w:rsid w:val="00A715C2"/>
    <w:rsid w:val="00A718E2"/>
    <w:rsid w:val="00A7377F"/>
    <w:rsid w:val="00A83FB1"/>
    <w:rsid w:val="00A86209"/>
    <w:rsid w:val="00A86362"/>
    <w:rsid w:val="00AA12FD"/>
    <w:rsid w:val="00AA1CCD"/>
    <w:rsid w:val="00AA5FC6"/>
    <w:rsid w:val="00AB1E2E"/>
    <w:rsid w:val="00AB7D14"/>
    <w:rsid w:val="00B04F1B"/>
    <w:rsid w:val="00B07508"/>
    <w:rsid w:val="00B11249"/>
    <w:rsid w:val="00B12ACE"/>
    <w:rsid w:val="00B13766"/>
    <w:rsid w:val="00B34DD2"/>
    <w:rsid w:val="00B507B1"/>
    <w:rsid w:val="00B53B2B"/>
    <w:rsid w:val="00B62FE9"/>
    <w:rsid w:val="00B64E65"/>
    <w:rsid w:val="00B66E8E"/>
    <w:rsid w:val="00B720B7"/>
    <w:rsid w:val="00B81A77"/>
    <w:rsid w:val="00BA068A"/>
    <w:rsid w:val="00BA62EE"/>
    <w:rsid w:val="00BA719D"/>
    <w:rsid w:val="00BC6801"/>
    <w:rsid w:val="00BC75F1"/>
    <w:rsid w:val="00BD0EE6"/>
    <w:rsid w:val="00BD28C7"/>
    <w:rsid w:val="00BE0B0C"/>
    <w:rsid w:val="00BE167D"/>
    <w:rsid w:val="00BE7416"/>
    <w:rsid w:val="00BF38CF"/>
    <w:rsid w:val="00BF4886"/>
    <w:rsid w:val="00C0735D"/>
    <w:rsid w:val="00C13AEF"/>
    <w:rsid w:val="00C13C25"/>
    <w:rsid w:val="00C14196"/>
    <w:rsid w:val="00C524D5"/>
    <w:rsid w:val="00C535DC"/>
    <w:rsid w:val="00C73FA7"/>
    <w:rsid w:val="00C7511F"/>
    <w:rsid w:val="00C76A69"/>
    <w:rsid w:val="00C8034B"/>
    <w:rsid w:val="00C8483E"/>
    <w:rsid w:val="00C84DF6"/>
    <w:rsid w:val="00C91385"/>
    <w:rsid w:val="00C957EE"/>
    <w:rsid w:val="00CA0EAE"/>
    <w:rsid w:val="00CA43C1"/>
    <w:rsid w:val="00CA63F0"/>
    <w:rsid w:val="00CD314C"/>
    <w:rsid w:val="00CD6DAA"/>
    <w:rsid w:val="00CE1407"/>
    <w:rsid w:val="00CE393D"/>
    <w:rsid w:val="00CE6918"/>
    <w:rsid w:val="00CF1668"/>
    <w:rsid w:val="00CF34AD"/>
    <w:rsid w:val="00CF3D4E"/>
    <w:rsid w:val="00CF7746"/>
    <w:rsid w:val="00D0406D"/>
    <w:rsid w:val="00D0497E"/>
    <w:rsid w:val="00D056D0"/>
    <w:rsid w:val="00D05AF3"/>
    <w:rsid w:val="00D22E10"/>
    <w:rsid w:val="00D277DE"/>
    <w:rsid w:val="00D37DC0"/>
    <w:rsid w:val="00D40142"/>
    <w:rsid w:val="00D456AC"/>
    <w:rsid w:val="00D50588"/>
    <w:rsid w:val="00D61AE2"/>
    <w:rsid w:val="00D62176"/>
    <w:rsid w:val="00D77ADC"/>
    <w:rsid w:val="00D77BA9"/>
    <w:rsid w:val="00D80DEC"/>
    <w:rsid w:val="00D81361"/>
    <w:rsid w:val="00D9681D"/>
    <w:rsid w:val="00D97B6A"/>
    <w:rsid w:val="00DA7BC8"/>
    <w:rsid w:val="00DB746B"/>
    <w:rsid w:val="00DB78F7"/>
    <w:rsid w:val="00DD11DC"/>
    <w:rsid w:val="00E06CB2"/>
    <w:rsid w:val="00E074FD"/>
    <w:rsid w:val="00E22A8D"/>
    <w:rsid w:val="00E256AF"/>
    <w:rsid w:val="00E3144F"/>
    <w:rsid w:val="00E33EE8"/>
    <w:rsid w:val="00E44279"/>
    <w:rsid w:val="00E44302"/>
    <w:rsid w:val="00E5044E"/>
    <w:rsid w:val="00E621EB"/>
    <w:rsid w:val="00E62ED6"/>
    <w:rsid w:val="00E63787"/>
    <w:rsid w:val="00E7123B"/>
    <w:rsid w:val="00E7344D"/>
    <w:rsid w:val="00E81304"/>
    <w:rsid w:val="00E84E82"/>
    <w:rsid w:val="00EA3BD4"/>
    <w:rsid w:val="00EA44EA"/>
    <w:rsid w:val="00EA5287"/>
    <w:rsid w:val="00EA7B99"/>
    <w:rsid w:val="00EB36B9"/>
    <w:rsid w:val="00EC2147"/>
    <w:rsid w:val="00EC449A"/>
    <w:rsid w:val="00ED1B74"/>
    <w:rsid w:val="00ED51DC"/>
    <w:rsid w:val="00ED65DB"/>
    <w:rsid w:val="00EE06A1"/>
    <w:rsid w:val="00EE1D10"/>
    <w:rsid w:val="00EE7450"/>
    <w:rsid w:val="00F014E3"/>
    <w:rsid w:val="00F12BE1"/>
    <w:rsid w:val="00F14097"/>
    <w:rsid w:val="00F22878"/>
    <w:rsid w:val="00F36BF4"/>
    <w:rsid w:val="00F4128A"/>
    <w:rsid w:val="00F57B44"/>
    <w:rsid w:val="00F66556"/>
    <w:rsid w:val="00F7228C"/>
    <w:rsid w:val="00F747C7"/>
    <w:rsid w:val="00F82B3E"/>
    <w:rsid w:val="00F8303A"/>
    <w:rsid w:val="00F83688"/>
    <w:rsid w:val="00F83739"/>
    <w:rsid w:val="00F86DAD"/>
    <w:rsid w:val="00F96274"/>
    <w:rsid w:val="00FA0D08"/>
    <w:rsid w:val="00FA21F5"/>
    <w:rsid w:val="00FA43F3"/>
    <w:rsid w:val="00FE26CD"/>
    <w:rsid w:val="00FE74F3"/>
    <w:rsid w:val="00FF39E7"/>
    <w:rsid w:val="1F71FC2F"/>
    <w:rsid w:val="2C06EBF5"/>
    <w:rsid w:val="3B0225EB"/>
    <w:rsid w:val="6B6DE875"/>
    <w:rsid w:val="6DBB9E96"/>
    <w:rsid w:val="70CB0368"/>
    <w:rsid w:val="7C66CC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2D715F"/>
    <w:pPr>
      <w:numPr>
        <w:numId w:val="9"/>
      </w:numPr>
      <w:shd w:val="clear" w:color="auto" w:fill="3FBFB6"/>
      <w:spacing w:before="120" w:line="264" w:lineRule="auto"/>
      <w:outlineLvl w:val="0"/>
    </w:pPr>
    <w:rPr>
      <w:rFonts w:eastAsia="Times New Roman"/>
      <w:b/>
      <w:bCs/>
      <w:color w:val="FFFFFF" w:themeColor="background1"/>
      <w:sz w:val="28"/>
      <w:szCs w:val="28"/>
      <w:lang w:val="en-IE"/>
    </w:rPr>
  </w:style>
  <w:style w:type="paragraph" w:styleId="Heading2">
    <w:name w:val="heading 2"/>
    <w:basedOn w:val="Normal"/>
    <w:next w:val="Normal"/>
    <w:link w:val="Heading2Char"/>
    <w:uiPriority w:val="9"/>
    <w:qFormat/>
    <w:rsid w:val="00C7511F"/>
    <w:pPr>
      <w:keepNext/>
      <w:keepLines/>
      <w:numPr>
        <w:ilvl w:val="1"/>
        <w:numId w:val="9"/>
      </w:numPr>
      <w:spacing w:before="0" w:after="0" w:line="480" w:lineRule="auto"/>
      <w:ind w:left="576"/>
      <w:jc w:val="left"/>
      <w:outlineLvl w:val="1"/>
    </w:pPr>
    <w:rPr>
      <w:rFonts w:eastAsiaTheme="majorEastAsia"/>
      <w:b/>
      <w:bCs/>
      <w:noProof/>
      <w:color w:val="auto"/>
      <w:sz w:val="24"/>
      <w:szCs w:val="24"/>
      <w:lang w:val="en-IE"/>
    </w:rPr>
  </w:style>
  <w:style w:type="paragraph" w:styleId="Heading3">
    <w:name w:val="heading 3"/>
    <w:basedOn w:val="Normal"/>
    <w:next w:val="Normal"/>
    <w:link w:val="Heading3Char"/>
    <w:uiPriority w:val="9"/>
    <w:qFormat/>
    <w:rsid w:val="00C13C25"/>
    <w:pPr>
      <w:keepNext/>
      <w:keepLines/>
      <w:numPr>
        <w:ilvl w:val="2"/>
        <w:numId w:val="9"/>
      </w:numPr>
      <w:spacing w:before="200" w:after="0"/>
      <w:outlineLvl w:val="2"/>
    </w:pPr>
    <w:rPr>
      <w:rFonts w:eastAsia="Times New Roman"/>
      <w:color w:val="auto"/>
      <w:lang w:val="en-IE"/>
    </w:rPr>
  </w:style>
  <w:style w:type="paragraph" w:styleId="Heading4">
    <w:name w:val="heading 4"/>
    <w:basedOn w:val="Normal"/>
    <w:next w:val="Normal"/>
    <w:link w:val="Heading4Char"/>
    <w:semiHidden/>
    <w:unhideWhenUsed/>
    <w:qFormat/>
    <w:locked/>
    <w:rsid w:val="00C7511F"/>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51D76"/>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locked/>
    <w:rsid w:val="00C7511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C7511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qFormat/>
    <w:rsid w:val="0019717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locked/>
    <w:rsid w:val="00C7511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715F"/>
    <w:rPr>
      <w:rFonts w:ascii="Arial" w:eastAsia="Times New Roman" w:hAnsi="Arial" w:cs="Arial"/>
      <w:b/>
      <w:bCs/>
      <w:color w:val="FFFFFF" w:themeColor="background1"/>
      <w:sz w:val="28"/>
      <w:szCs w:val="28"/>
      <w:shd w:val="clear" w:color="auto" w:fill="3FBFB6"/>
      <w:lang w:eastAsia="en-US"/>
    </w:rPr>
  </w:style>
  <w:style w:type="character" w:customStyle="1" w:styleId="Heading2Char">
    <w:name w:val="Heading 2 Char"/>
    <w:link w:val="Heading2"/>
    <w:uiPriority w:val="9"/>
    <w:locked/>
    <w:rsid w:val="00C7511F"/>
    <w:rPr>
      <w:rFonts w:ascii="Arial" w:eastAsiaTheme="majorEastAsia" w:hAnsi="Arial" w:cs="Arial"/>
      <w:b/>
      <w:bCs/>
      <w:noProof/>
      <w:sz w:val="24"/>
      <w:szCs w:val="24"/>
      <w:lang w:eastAsia="en-US"/>
    </w:rPr>
  </w:style>
  <w:style w:type="character" w:customStyle="1" w:styleId="Heading3Char">
    <w:name w:val="Heading 3 Char"/>
    <w:link w:val="Heading3"/>
    <w:uiPriority w:val="9"/>
    <w:locked/>
    <w:rsid w:val="00C13C25"/>
    <w:rPr>
      <w:rFonts w:ascii="Arial" w:eastAsia="Times New Roman" w:hAnsi="Arial" w:cs="Arial"/>
      <w:sz w:val="22"/>
      <w:szCs w:val="22"/>
      <w:lang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uiPriority w:val="99"/>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semiHidden/>
    <w:rsid w:val="00197179"/>
    <w:pPr>
      <w:spacing w:after="120"/>
    </w:pPr>
    <w:rPr>
      <w:sz w:val="16"/>
      <w:szCs w:val="16"/>
    </w:rPr>
  </w:style>
  <w:style w:type="character" w:customStyle="1" w:styleId="BodyText3Char">
    <w:name w:val="Body Text 3 Char"/>
    <w:link w:val="BodyText3"/>
    <w:uiPriority w:val="99"/>
    <w:semiHidden/>
    <w:locked/>
    <w:rsid w:val="00197179"/>
    <w:rPr>
      <w:rFonts w:cs="Times New Roman"/>
      <w:sz w:val="16"/>
      <w:szCs w:val="16"/>
    </w:rPr>
  </w:style>
  <w:style w:type="paragraph" w:styleId="Title">
    <w:name w:val="Title"/>
    <w:basedOn w:val="Normal"/>
    <w:link w:val="TitleChar"/>
    <w:uiPriority w:val="99"/>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99"/>
    <w:locked/>
    <w:rsid w:val="00197179"/>
    <w:rPr>
      <w:rFonts w:ascii="Times New Roman" w:hAnsi="Times New Roman" w:cs="Times New Roman"/>
      <w:b/>
      <w:sz w:val="20"/>
      <w:szCs w:val="20"/>
      <w:lang w:val="en-IE"/>
    </w:rPr>
  </w:style>
  <w:style w:type="table" w:styleId="TableGrid">
    <w:name w:val="Table Grid"/>
    <w:basedOn w:val="TableNormal"/>
    <w:uiPriority w:val="9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F4128A"/>
    <w:pPr>
      <w:tabs>
        <w:tab w:val="left" w:pos="851"/>
        <w:tab w:val="left" w:pos="880"/>
        <w:tab w:val="right" w:leader="dot" w:pos="9016"/>
      </w:tabs>
      <w:spacing w:before="120" w:after="0" w:line="240" w:lineRule="auto"/>
      <w:ind w:left="1134" w:hanging="692"/>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semiHidden/>
    <w:rsid w:val="00C7511F"/>
    <w:rPr>
      <w:rFonts w:asciiTheme="majorHAnsi" w:eastAsiaTheme="majorEastAsia" w:hAnsiTheme="majorHAnsi" w:cstheme="majorBidi"/>
      <w:i/>
      <w:iCs/>
      <w:color w:val="2F5496" w:themeColor="accent1" w:themeShade="BF"/>
      <w:sz w:val="22"/>
      <w:szCs w:val="22"/>
      <w:lang w:val="en-GB" w:eastAsia="en-US"/>
    </w:rPr>
  </w:style>
  <w:style w:type="character" w:customStyle="1" w:styleId="Heading6Char">
    <w:name w:val="Heading 6 Char"/>
    <w:basedOn w:val="DefaultParagraphFont"/>
    <w:link w:val="Heading6"/>
    <w:semiHidden/>
    <w:rsid w:val="00C7511F"/>
    <w:rPr>
      <w:rFonts w:asciiTheme="majorHAnsi" w:eastAsiaTheme="majorEastAsia" w:hAnsiTheme="majorHAnsi" w:cstheme="majorBidi"/>
      <w:color w:val="1F3763" w:themeColor="accent1" w:themeShade="7F"/>
      <w:sz w:val="22"/>
      <w:szCs w:val="22"/>
      <w:lang w:val="en-GB" w:eastAsia="en-US"/>
    </w:rPr>
  </w:style>
  <w:style w:type="character" w:customStyle="1" w:styleId="Heading7Char">
    <w:name w:val="Heading 7 Char"/>
    <w:basedOn w:val="DefaultParagraphFont"/>
    <w:link w:val="Heading7"/>
    <w:semiHidden/>
    <w:rsid w:val="00C7511F"/>
    <w:rPr>
      <w:rFonts w:asciiTheme="majorHAnsi" w:eastAsiaTheme="majorEastAsia" w:hAnsiTheme="majorHAnsi" w:cstheme="majorBidi"/>
      <w:i/>
      <w:iCs/>
      <w:color w:val="1F3763" w:themeColor="accent1" w:themeShade="7F"/>
      <w:sz w:val="22"/>
      <w:szCs w:val="22"/>
      <w:lang w:val="en-GB" w:eastAsia="en-US"/>
    </w:rPr>
  </w:style>
  <w:style w:type="character" w:customStyle="1" w:styleId="Heading9Char">
    <w:name w:val="Heading 9 Char"/>
    <w:basedOn w:val="DefaultParagraphFont"/>
    <w:link w:val="Heading9"/>
    <w:semiHidden/>
    <w:rsid w:val="00C7511F"/>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ED51DC"/>
    <w:rPr>
      <w:color w:val="605E5C"/>
      <w:shd w:val="clear" w:color="auto" w:fill="E1DFDD"/>
    </w:rPr>
  </w:style>
  <w:style w:type="table" w:styleId="GridTable4">
    <w:name w:val="Grid Table 4"/>
    <w:basedOn w:val="TableNormal"/>
    <w:uiPriority w:val="49"/>
    <w:rsid w:val="00636F2C"/>
    <w:rPr>
      <w:rFonts w:asciiTheme="minorHAnsi" w:eastAsia="Times New Roman" w:hAnsi="Times New Roman"/>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qFormat/>
    <w:locked/>
    <w:rsid w:val="00C84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1140">
      <w:bodyDiv w:val="1"/>
      <w:marLeft w:val="0"/>
      <w:marRight w:val="0"/>
      <w:marTop w:val="0"/>
      <w:marBottom w:val="0"/>
      <w:divBdr>
        <w:top w:val="none" w:sz="0" w:space="0" w:color="auto"/>
        <w:left w:val="none" w:sz="0" w:space="0" w:color="auto"/>
        <w:bottom w:val="none" w:sz="0" w:space="0" w:color="auto"/>
        <w:right w:val="none" w:sz="0" w:space="0" w:color="auto"/>
      </w:divBdr>
    </w:div>
    <w:div w:id="80937164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936085235">
      <w:bodyDiv w:val="1"/>
      <w:marLeft w:val="0"/>
      <w:marRight w:val="0"/>
      <w:marTop w:val="0"/>
      <w:marBottom w:val="0"/>
      <w:divBdr>
        <w:top w:val="none" w:sz="0" w:space="0" w:color="auto"/>
        <w:left w:val="none" w:sz="0" w:space="0" w:color="auto"/>
        <w:bottom w:val="none" w:sz="0" w:space="0" w:color="auto"/>
        <w:right w:val="none" w:sz="0" w:space="0" w:color="auto"/>
      </w:divBdr>
    </w:div>
    <w:div w:id="1946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calenterprise@kildarecoco.ie" TargetMode="External"/><Relationship Id="rId18" Type="http://schemas.openxmlformats.org/officeDocument/2006/relationships/hyperlink" Target="mailto:nonrestaxclearance@revenue.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calenterprise@kildarecoco.ie" TargetMode="External"/><Relationship Id="rId17"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mailto:localenterprise@kildarecoco.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ccountspayable@kildarecoco.i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calenterprise.ie/kilda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61943-8223-4a74-b011-3c2c5aaabb5d">
      <Terms xmlns="http://schemas.microsoft.com/office/infopath/2007/PartnerControls"/>
    </lcf76f155ced4ddcb4097134ff3c332f>
    <TaxCatchAll xmlns="b1c4b50b-f7b7-4f27-a868-43cd0f12c6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199FAFB9389C499AAE3B9BD541E4EC" ma:contentTypeVersion="12" ma:contentTypeDescription="Create a new document." ma:contentTypeScope="" ma:versionID="ea936deb2dfdd1a485d521e705927f99">
  <xsd:schema xmlns:xsd="http://www.w3.org/2001/XMLSchema" xmlns:xs="http://www.w3.org/2001/XMLSchema" xmlns:p="http://schemas.microsoft.com/office/2006/metadata/properties" xmlns:ns2="79861943-8223-4a74-b011-3c2c5aaabb5d" xmlns:ns3="b1c4b50b-f7b7-4f27-a868-43cd0f12c61a" targetNamespace="http://schemas.microsoft.com/office/2006/metadata/properties" ma:root="true" ma:fieldsID="0dcc6c70f6926e24c997ccd906553037" ns2:_="" ns3:_="">
    <xsd:import namespace="79861943-8223-4a74-b011-3c2c5aaabb5d"/>
    <xsd:import namespace="b1c4b50b-f7b7-4f27-a868-43cd0f12c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943-8223-4a74-b011-3c2c5aaabb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f0fb9d-a4ae-4847-9979-2c7db57819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4b50b-f7b7-4f27-a868-43cd0f12c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7ac446-225b-43ec-b49a-fcccc628aef4}" ma:internalName="TaxCatchAll" ma:showField="CatchAllData" ma:web="b1c4b50b-f7b7-4f27-a868-43cd0f12c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C51DB-DE93-434F-AB34-449D4F8C42BA}">
  <ds:schemaRefs>
    <ds:schemaRef ds:uri="http://schemas.microsoft.com/office/2006/metadata/properties"/>
    <ds:schemaRef ds:uri="http://schemas.microsoft.com/office/infopath/2007/PartnerControls"/>
    <ds:schemaRef ds:uri="5f3af857-7cc6-460e-b0fe-3f29ea46db4b"/>
    <ds:schemaRef ds:uri="79861943-8223-4a74-b011-3c2c5aaabb5d"/>
    <ds:schemaRef ds:uri="b1c4b50b-f7b7-4f27-a868-43cd0f12c61a"/>
  </ds:schemaRefs>
</ds:datastoreItem>
</file>

<file path=customXml/itemProps2.xml><?xml version="1.0" encoding="utf-8"?>
<ds:datastoreItem xmlns:ds="http://schemas.openxmlformats.org/officeDocument/2006/customXml" ds:itemID="{AB3E66F4-A49A-4875-A914-3C3709C9D44C}">
  <ds:schemaRefs>
    <ds:schemaRef ds:uri="http://schemas.openxmlformats.org/officeDocument/2006/bibliography"/>
  </ds:schemaRefs>
</ds:datastoreItem>
</file>

<file path=customXml/itemProps3.xml><?xml version="1.0" encoding="utf-8"?>
<ds:datastoreItem xmlns:ds="http://schemas.openxmlformats.org/officeDocument/2006/customXml" ds:itemID="{CF2851A0-6370-4C05-8A99-8A21267A2407}">
  <ds:schemaRefs>
    <ds:schemaRef ds:uri="http://schemas.microsoft.com/sharepoint/v3/contenttype/forms"/>
  </ds:schemaRefs>
</ds:datastoreItem>
</file>

<file path=customXml/itemProps4.xml><?xml version="1.0" encoding="utf-8"?>
<ds:datastoreItem xmlns:ds="http://schemas.openxmlformats.org/officeDocument/2006/customXml" ds:itemID="{9BA41982-3510-4FE6-A155-1EC434CA4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943-8223-4a74-b011-3c2c5aaabb5d"/>
    <ds:schemaRef ds:uri="b1c4b50b-f7b7-4f27-a868-43cd0f12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3018</Words>
  <Characters>17854</Characters>
  <Application>Microsoft Office Word</Application>
  <DocSecurity>0</DocSecurity>
  <Lines>379</Lines>
  <Paragraphs>217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Claire Dunleavy</cp:lastModifiedBy>
  <cp:revision>17</cp:revision>
  <cp:lastPrinted>2025-11-12T13:07:00Z</cp:lastPrinted>
  <dcterms:created xsi:type="dcterms:W3CDTF">2022-07-21T10:29:00Z</dcterms:created>
  <dcterms:modified xsi:type="dcterms:W3CDTF">2025-11-24T10:12:00Z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0x01010039199FAFB9389C499AAE3B9BD541E4EC</vt:lpwstr>
  </property>
  <property fmtid="{D5CDD505-2E9C-101B-9397-08002B2CF9AE}" pid="3" name="Order">
    <vt:r8>469000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