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2F" w:rsidRPr="00A75FB8" w:rsidRDefault="00D0202F">
      <w:pPr>
        <w:rPr>
          <w:rFonts w:cstheme="minorHAnsi"/>
          <w:b/>
        </w:rPr>
      </w:pPr>
      <w:bookmarkStart w:id="0" w:name="_GoBack"/>
      <w:bookmarkEnd w:id="0"/>
      <w:r w:rsidRPr="00A75FB8">
        <w:rPr>
          <w:rFonts w:cstheme="minorHAnsi"/>
          <w:b/>
        </w:rPr>
        <w:t>Business Expansion Grant:</w:t>
      </w:r>
    </w:p>
    <w:p w:rsidR="00D0202F" w:rsidRPr="00D0202F" w:rsidRDefault="00D0202F">
      <w:pPr>
        <w:rPr>
          <w:rFonts w:cstheme="minorHAnsi"/>
          <w:shd w:val="clear" w:color="auto" w:fill="FFFFFF"/>
        </w:rPr>
      </w:pPr>
      <w:r w:rsidRPr="00D0202F">
        <w:rPr>
          <w:rFonts w:cstheme="minorHAnsi"/>
          <w:shd w:val="clear" w:color="auto" w:fill="FFFFFF"/>
        </w:rPr>
        <w:t xml:space="preserve">A Business Expansion Grant is designed to assist </w:t>
      </w:r>
      <w:r w:rsidR="002D019E">
        <w:rPr>
          <w:rFonts w:cstheme="minorHAnsi"/>
          <w:shd w:val="clear" w:color="auto" w:fill="FFFFFF"/>
        </w:rPr>
        <w:t>a</w:t>
      </w:r>
      <w:r w:rsidRPr="00D0202F">
        <w:rPr>
          <w:rFonts w:cstheme="minorHAnsi"/>
          <w:shd w:val="clear" w:color="auto" w:fill="FFFFFF"/>
        </w:rPr>
        <w:t xml:space="preserve"> business in its growth phase after the initial </w:t>
      </w:r>
      <w:r w:rsidR="002D019E" w:rsidRPr="00D0202F">
        <w:rPr>
          <w:rFonts w:cstheme="minorHAnsi"/>
          <w:shd w:val="clear" w:color="auto" w:fill="FFFFFF"/>
        </w:rPr>
        <w:t>18-month</w:t>
      </w:r>
      <w:r w:rsidRPr="00D0202F">
        <w:rPr>
          <w:rFonts w:cstheme="minorHAnsi"/>
          <w:shd w:val="clear" w:color="auto" w:fill="FFFFFF"/>
        </w:rPr>
        <w:t xml:space="preserve"> start-up period.</w:t>
      </w:r>
    </w:p>
    <w:p w:rsidR="002D019E" w:rsidRDefault="00D0202F" w:rsidP="002D019E">
      <w:pPr>
        <w:shd w:val="clear" w:color="auto" w:fill="FFFFFF"/>
        <w:spacing w:after="240" w:line="240" w:lineRule="auto"/>
        <w:textAlignment w:val="baseline"/>
        <w:rPr>
          <w:rFonts w:eastAsia="Times New Roman" w:cstheme="minorHAnsi"/>
          <w:lang w:eastAsia="en-IE"/>
        </w:rPr>
      </w:pPr>
      <w:r w:rsidRPr="00D0202F">
        <w:rPr>
          <w:rFonts w:eastAsia="Times New Roman" w:cstheme="minorHAnsi"/>
          <w:lang w:eastAsia="en-IE"/>
        </w:rPr>
        <w:t>Business Expansion grants may be awarded to sole traders, partnerships or limited companies that fulfil the following criteria:</w:t>
      </w:r>
    </w:p>
    <w:p w:rsidR="002D019E" w:rsidRPr="00526C1E" w:rsidRDefault="002D019E" w:rsidP="002D019E">
      <w:pPr>
        <w:pStyle w:val="ListParagraph"/>
        <w:numPr>
          <w:ilvl w:val="0"/>
          <w:numId w:val="8"/>
        </w:numPr>
        <w:spacing w:after="0" w:line="240" w:lineRule="auto"/>
        <w:textAlignment w:val="baseline"/>
        <w:rPr>
          <w:rFonts w:eastAsia="Times New Roman" w:cstheme="minorHAnsi"/>
          <w:lang w:eastAsia="en-IE"/>
        </w:rPr>
      </w:pPr>
      <w:r w:rsidRPr="00526C1E">
        <w:rPr>
          <w:rFonts w:eastAsia="Times New Roman" w:cstheme="minorHAnsi"/>
          <w:lang w:eastAsia="en-IE"/>
        </w:rPr>
        <w:t>Enterprises in the manufacturing or internationally traded services sector which, over time, can develop into strong export entities and graduate to Enterprise Ireland.</w:t>
      </w:r>
    </w:p>
    <w:p w:rsidR="002D019E" w:rsidRPr="00D0202F" w:rsidRDefault="002D019E" w:rsidP="002D019E">
      <w:pPr>
        <w:numPr>
          <w:ilvl w:val="0"/>
          <w:numId w:val="8"/>
        </w:numPr>
        <w:spacing w:after="0" w:line="240" w:lineRule="auto"/>
        <w:textAlignment w:val="baseline"/>
        <w:rPr>
          <w:rFonts w:eastAsia="Times New Roman" w:cstheme="minorHAnsi"/>
          <w:lang w:eastAsia="en-IE"/>
        </w:rPr>
      </w:pPr>
      <w:r>
        <w:rPr>
          <w:rFonts w:eastAsia="Times New Roman" w:cstheme="minorHAnsi"/>
          <w:lang w:eastAsia="en-IE"/>
        </w:rPr>
        <w:t>U</w:t>
      </w:r>
      <w:r w:rsidRPr="00D0202F">
        <w:rPr>
          <w:rFonts w:eastAsia="Times New Roman" w:cstheme="minorHAnsi"/>
          <w:lang w:eastAsia="en-IE"/>
        </w:rPr>
        <w:t>nique tourism service enterprises that target generating revenue from overseas visitors; these tourism services should not displace business from other existing players in the market or give rise to deadweight. With regard to restrictions, retail enterprises, personal services, professional services or construction and local building services are not eligible for grant aid.</w:t>
      </w:r>
    </w:p>
    <w:p w:rsidR="00D0202F" w:rsidRPr="00D0202F" w:rsidRDefault="00D0202F" w:rsidP="00D0202F">
      <w:pPr>
        <w:numPr>
          <w:ilvl w:val="0"/>
          <w:numId w:val="8"/>
        </w:numPr>
        <w:spacing w:after="0" w:line="240" w:lineRule="auto"/>
        <w:textAlignment w:val="baseline"/>
        <w:rPr>
          <w:rFonts w:eastAsia="Times New Roman" w:cstheme="minorHAnsi"/>
          <w:lang w:eastAsia="en-IE"/>
        </w:rPr>
      </w:pPr>
      <w:r>
        <w:rPr>
          <w:rFonts w:eastAsia="Times New Roman" w:cstheme="minorHAnsi"/>
          <w:lang w:eastAsia="en-IE"/>
        </w:rPr>
        <w:t>Employ up to a maximum of 10 people</w:t>
      </w:r>
      <w:r w:rsidR="00A75FB8">
        <w:rPr>
          <w:rFonts w:eastAsia="Times New Roman" w:cstheme="minorHAnsi"/>
          <w:lang w:eastAsia="en-IE"/>
        </w:rPr>
        <w:t xml:space="preserve"> and be going employment.</w:t>
      </w:r>
    </w:p>
    <w:p w:rsidR="00D0202F" w:rsidRPr="00D0202F" w:rsidRDefault="00D0202F" w:rsidP="00D0202F">
      <w:pPr>
        <w:numPr>
          <w:ilvl w:val="0"/>
          <w:numId w:val="8"/>
        </w:numPr>
        <w:spacing w:after="0" w:line="240" w:lineRule="auto"/>
        <w:textAlignment w:val="baseline"/>
        <w:rPr>
          <w:rFonts w:eastAsia="Times New Roman" w:cstheme="minorHAnsi"/>
          <w:lang w:eastAsia="en-IE"/>
        </w:rPr>
      </w:pPr>
      <w:r>
        <w:rPr>
          <w:rFonts w:eastAsia="Times New Roman" w:cstheme="minorHAnsi"/>
          <w:lang w:eastAsia="en-IE"/>
        </w:rPr>
        <w:t>B</w:t>
      </w:r>
      <w:r w:rsidRPr="00D0202F">
        <w:rPr>
          <w:rFonts w:eastAsia="Times New Roman" w:cstheme="minorHAnsi"/>
          <w:lang w:eastAsia="en-IE"/>
        </w:rPr>
        <w:t>e established, registered, and operate within the area of the Local Enterprise Office;</w:t>
      </w:r>
      <w:r>
        <w:rPr>
          <w:rFonts w:eastAsia="Times New Roman" w:cstheme="minorHAnsi"/>
          <w:lang w:eastAsia="en-IE"/>
        </w:rPr>
        <w:t xml:space="preserve"> Kilkenny</w:t>
      </w:r>
    </w:p>
    <w:p w:rsidR="00D0202F" w:rsidRPr="00D0202F" w:rsidRDefault="00D0202F" w:rsidP="00D0202F">
      <w:pPr>
        <w:numPr>
          <w:ilvl w:val="0"/>
          <w:numId w:val="8"/>
        </w:numPr>
        <w:spacing w:after="0" w:line="240" w:lineRule="auto"/>
        <w:textAlignment w:val="baseline"/>
        <w:rPr>
          <w:rFonts w:eastAsia="Times New Roman" w:cstheme="minorHAnsi"/>
          <w:lang w:eastAsia="en-IE"/>
        </w:rPr>
      </w:pPr>
      <w:r>
        <w:rPr>
          <w:rFonts w:eastAsia="Times New Roman" w:cstheme="minorHAnsi"/>
          <w:lang w:eastAsia="en-IE"/>
        </w:rPr>
        <w:t>O</w:t>
      </w:r>
      <w:r w:rsidRPr="00D0202F">
        <w:rPr>
          <w:rFonts w:eastAsia="Times New Roman" w:cstheme="minorHAnsi"/>
          <w:lang w:eastAsia="en-IE"/>
        </w:rPr>
        <w:t>perate in the commercial field;</w:t>
      </w:r>
    </w:p>
    <w:p w:rsidR="00D0202F" w:rsidRPr="00D0202F" w:rsidRDefault="00D0202F" w:rsidP="00D0202F">
      <w:pPr>
        <w:numPr>
          <w:ilvl w:val="0"/>
          <w:numId w:val="8"/>
        </w:numPr>
        <w:spacing w:after="0" w:line="240" w:lineRule="auto"/>
        <w:textAlignment w:val="baseline"/>
        <w:rPr>
          <w:rFonts w:eastAsia="Times New Roman" w:cstheme="minorHAnsi"/>
          <w:lang w:eastAsia="en-IE"/>
        </w:rPr>
      </w:pPr>
      <w:r>
        <w:rPr>
          <w:rFonts w:eastAsia="Times New Roman" w:cstheme="minorHAnsi"/>
          <w:lang w:eastAsia="en-IE"/>
        </w:rPr>
        <w:t>S</w:t>
      </w:r>
      <w:r w:rsidRPr="00D0202F">
        <w:rPr>
          <w:rFonts w:eastAsia="Times New Roman" w:cstheme="minorHAnsi"/>
          <w:lang w:eastAsia="en-IE"/>
        </w:rPr>
        <w:t>how there is a market for the product or service;</w:t>
      </w:r>
    </w:p>
    <w:p w:rsidR="00D0202F" w:rsidRPr="00D0202F" w:rsidRDefault="00D0202F" w:rsidP="00D0202F">
      <w:pPr>
        <w:numPr>
          <w:ilvl w:val="0"/>
          <w:numId w:val="8"/>
        </w:numPr>
        <w:spacing w:after="0" w:line="240" w:lineRule="auto"/>
        <w:textAlignment w:val="baseline"/>
        <w:rPr>
          <w:rFonts w:eastAsia="Times New Roman" w:cstheme="minorHAnsi"/>
          <w:lang w:eastAsia="en-IE"/>
        </w:rPr>
      </w:pPr>
      <w:r>
        <w:rPr>
          <w:rFonts w:eastAsia="Times New Roman" w:cstheme="minorHAnsi"/>
          <w:lang w:eastAsia="en-IE"/>
        </w:rPr>
        <w:t>H</w:t>
      </w:r>
      <w:r w:rsidRPr="00D0202F">
        <w:rPr>
          <w:rFonts w:eastAsia="Times New Roman" w:cstheme="minorHAnsi"/>
          <w:lang w:eastAsia="en-IE"/>
        </w:rPr>
        <w:t>ave potential for growth in domestic or export markets; and</w:t>
      </w:r>
    </w:p>
    <w:p w:rsidR="00D0202F" w:rsidRPr="002D019E" w:rsidRDefault="00D0202F" w:rsidP="00D0202F">
      <w:pPr>
        <w:numPr>
          <w:ilvl w:val="0"/>
          <w:numId w:val="8"/>
        </w:numPr>
        <w:spacing w:after="0" w:line="240" w:lineRule="auto"/>
        <w:textAlignment w:val="baseline"/>
        <w:rPr>
          <w:rFonts w:eastAsia="Times New Roman" w:cstheme="minorHAnsi"/>
          <w:lang w:eastAsia="en-IE"/>
        </w:rPr>
      </w:pPr>
      <w:r>
        <w:rPr>
          <w:rFonts w:eastAsia="Times New Roman" w:cstheme="minorHAnsi"/>
          <w:lang w:eastAsia="en-IE"/>
        </w:rPr>
        <w:t>H</w:t>
      </w:r>
      <w:r w:rsidRPr="00D0202F">
        <w:rPr>
          <w:rFonts w:eastAsia="Times New Roman" w:cstheme="minorHAnsi"/>
          <w:lang w:eastAsia="en-IE"/>
        </w:rPr>
        <w:t>ave potential for job creation without affecting existing local business.</w:t>
      </w:r>
    </w:p>
    <w:p w:rsidR="002D019E" w:rsidRDefault="002D019E" w:rsidP="00D0202F">
      <w:pPr>
        <w:shd w:val="clear" w:color="auto" w:fill="FFFFFF"/>
        <w:spacing w:after="240" w:line="240" w:lineRule="auto"/>
        <w:textAlignment w:val="baseline"/>
        <w:rPr>
          <w:rFonts w:eastAsia="Times New Roman" w:cstheme="minorHAnsi"/>
          <w:lang w:eastAsia="en-IE"/>
        </w:rPr>
      </w:pPr>
    </w:p>
    <w:p w:rsidR="00D0202F" w:rsidRPr="00D0202F" w:rsidRDefault="00D0202F" w:rsidP="00D0202F">
      <w:pPr>
        <w:shd w:val="clear" w:color="auto" w:fill="FFFFFF"/>
        <w:spacing w:after="240" w:line="240" w:lineRule="auto"/>
        <w:textAlignment w:val="baseline"/>
        <w:rPr>
          <w:rFonts w:eastAsia="Times New Roman" w:cstheme="minorHAnsi"/>
          <w:lang w:eastAsia="en-IE"/>
        </w:rPr>
      </w:pPr>
      <w:r w:rsidRPr="00D0202F">
        <w:rPr>
          <w:rFonts w:eastAsia="Times New Roman" w:cstheme="minorHAnsi"/>
          <w:lang w:eastAsia="en-IE"/>
        </w:rPr>
        <w:t>The maximum Business Expansion Grant payable shall be 50% of the investment or €150,000 whichever is the lesser.</w:t>
      </w:r>
      <w:r w:rsidR="002D019E">
        <w:rPr>
          <w:rFonts w:eastAsia="Times New Roman" w:cstheme="minorHAnsi"/>
          <w:lang w:eastAsia="en-IE"/>
        </w:rPr>
        <w:t xml:space="preserve"> This maximum grant would be linked to the creation of 10 new full-time jobs. All grant awards are linked to the creation of new full-time employment. </w:t>
      </w:r>
    </w:p>
    <w:p w:rsidR="00D0202F" w:rsidRPr="00D0202F" w:rsidRDefault="00D0202F" w:rsidP="00D0202F">
      <w:pPr>
        <w:shd w:val="clear" w:color="auto" w:fill="FFFFFF"/>
        <w:spacing w:after="240" w:line="240" w:lineRule="auto"/>
        <w:textAlignment w:val="baseline"/>
        <w:rPr>
          <w:rFonts w:eastAsia="Times New Roman" w:cstheme="minorHAnsi"/>
          <w:lang w:eastAsia="en-IE"/>
        </w:rPr>
      </w:pPr>
      <w:r w:rsidRPr="00D0202F">
        <w:rPr>
          <w:rFonts w:eastAsia="Times New Roman" w:cstheme="minorHAnsi"/>
          <w:lang w:eastAsia="en-IE"/>
        </w:rPr>
        <w:t>Expenditure may be considered under the following headings:</w:t>
      </w:r>
    </w:p>
    <w:p w:rsidR="00D0202F" w:rsidRPr="00D0202F" w:rsidRDefault="00D0202F" w:rsidP="00D0202F">
      <w:pPr>
        <w:numPr>
          <w:ilvl w:val="0"/>
          <w:numId w:val="5"/>
        </w:numPr>
        <w:shd w:val="clear" w:color="auto" w:fill="FFFFFF"/>
        <w:spacing w:after="0" w:line="240" w:lineRule="auto"/>
        <w:textAlignment w:val="baseline"/>
        <w:rPr>
          <w:rFonts w:eastAsia="Times New Roman" w:cstheme="minorHAnsi"/>
          <w:lang w:eastAsia="en-IE"/>
        </w:rPr>
      </w:pPr>
      <w:r w:rsidRPr="00D0202F">
        <w:rPr>
          <w:rFonts w:eastAsia="Times New Roman" w:cstheme="minorHAnsi"/>
          <w:lang w:eastAsia="en-IE"/>
        </w:rPr>
        <w:t>Capital items</w:t>
      </w:r>
    </w:p>
    <w:p w:rsidR="00D0202F" w:rsidRPr="00D0202F" w:rsidRDefault="00D0202F" w:rsidP="00D0202F">
      <w:pPr>
        <w:numPr>
          <w:ilvl w:val="0"/>
          <w:numId w:val="5"/>
        </w:numPr>
        <w:shd w:val="clear" w:color="auto" w:fill="FFFFFF"/>
        <w:spacing w:after="0" w:line="240" w:lineRule="auto"/>
        <w:textAlignment w:val="baseline"/>
        <w:rPr>
          <w:rFonts w:eastAsia="Times New Roman" w:cstheme="minorHAnsi"/>
          <w:lang w:eastAsia="en-IE"/>
        </w:rPr>
      </w:pPr>
      <w:r w:rsidRPr="00D0202F">
        <w:rPr>
          <w:rFonts w:eastAsia="Times New Roman" w:cstheme="minorHAnsi"/>
          <w:lang w:eastAsia="en-IE"/>
        </w:rPr>
        <w:t>Salary costs</w:t>
      </w:r>
    </w:p>
    <w:p w:rsidR="00D0202F" w:rsidRPr="00D0202F" w:rsidRDefault="00D0202F" w:rsidP="00D0202F">
      <w:pPr>
        <w:numPr>
          <w:ilvl w:val="0"/>
          <w:numId w:val="5"/>
        </w:numPr>
        <w:shd w:val="clear" w:color="auto" w:fill="FFFFFF"/>
        <w:spacing w:after="0" w:line="240" w:lineRule="auto"/>
        <w:textAlignment w:val="baseline"/>
        <w:rPr>
          <w:rFonts w:eastAsia="Times New Roman" w:cstheme="minorHAnsi"/>
          <w:lang w:eastAsia="en-IE"/>
        </w:rPr>
      </w:pPr>
      <w:r w:rsidRPr="00D0202F">
        <w:rPr>
          <w:rFonts w:eastAsia="Times New Roman" w:cstheme="minorHAnsi"/>
          <w:lang w:eastAsia="en-IE"/>
        </w:rPr>
        <w:t>Consultancy/Innovation/</w:t>
      </w:r>
      <w:r w:rsidR="002D019E">
        <w:rPr>
          <w:rFonts w:eastAsia="Times New Roman" w:cstheme="minorHAnsi"/>
          <w:lang w:eastAsia="en-IE"/>
        </w:rPr>
        <w:t xml:space="preserve"> Specialised </w:t>
      </w:r>
      <w:r w:rsidRPr="00D0202F">
        <w:rPr>
          <w:rFonts w:eastAsia="Times New Roman" w:cstheme="minorHAnsi"/>
          <w:lang w:eastAsia="en-IE"/>
        </w:rPr>
        <w:t>Marketing costs</w:t>
      </w:r>
    </w:p>
    <w:p w:rsidR="00D0202F" w:rsidRPr="00D0202F" w:rsidRDefault="00D0202F" w:rsidP="00D0202F">
      <w:pPr>
        <w:shd w:val="clear" w:color="auto" w:fill="FFFFFF"/>
        <w:spacing w:after="0" w:line="240" w:lineRule="auto"/>
        <w:textAlignment w:val="baseline"/>
        <w:rPr>
          <w:rFonts w:eastAsia="Times New Roman" w:cstheme="minorHAnsi"/>
          <w:lang w:eastAsia="en-IE"/>
        </w:rPr>
      </w:pPr>
    </w:p>
    <w:p w:rsidR="00D0202F" w:rsidRPr="00D0202F" w:rsidRDefault="00D0202F" w:rsidP="00D0202F">
      <w:pPr>
        <w:shd w:val="clear" w:color="auto" w:fill="FFFFFF"/>
        <w:spacing w:after="240" w:line="240" w:lineRule="auto"/>
        <w:textAlignment w:val="baseline"/>
        <w:rPr>
          <w:rFonts w:eastAsia="Times New Roman" w:cstheme="minorHAnsi"/>
          <w:lang w:eastAsia="en-IE"/>
        </w:rPr>
      </w:pPr>
      <w:r w:rsidRPr="00D0202F">
        <w:rPr>
          <w:rFonts w:eastAsia="Times New Roman" w:cstheme="minorHAnsi"/>
          <w:lang w:eastAsia="en-IE"/>
        </w:rPr>
        <w:t>Grants over €80,000 and up to €150,000 shall be the exception and shall only apply in the case of projects that clearly demonstrate a potential to graduate to Enterprise Ireland and/or to export internationally. In all other cases, the maximum grant shall be 50% of the investment or €80,000 whichever is the lesser. Subject to the 50% limit, a maximum grant of €15,000 per full time job created shall apply in respect of any employment support granted.</w:t>
      </w:r>
    </w:p>
    <w:p w:rsidR="00D0202F" w:rsidRPr="00D0202F" w:rsidRDefault="00D0202F" w:rsidP="00D0202F">
      <w:pPr>
        <w:shd w:val="clear" w:color="auto" w:fill="FFFFFF"/>
        <w:spacing w:after="240" w:line="240" w:lineRule="auto"/>
        <w:textAlignment w:val="baseline"/>
        <w:rPr>
          <w:rFonts w:eastAsia="Times New Roman" w:cstheme="minorHAnsi"/>
          <w:lang w:eastAsia="en-IE"/>
        </w:rPr>
      </w:pPr>
      <w:r w:rsidRPr="00D0202F">
        <w:rPr>
          <w:rFonts w:eastAsia="Times New Roman" w:cstheme="minorHAnsi"/>
          <w:lang w:eastAsia="en-IE"/>
        </w:rPr>
        <w:t>All grants of a value greater than or equal to €</w:t>
      </w:r>
      <w:r w:rsidR="002D019E">
        <w:rPr>
          <w:rFonts w:eastAsia="Times New Roman" w:cstheme="minorHAnsi"/>
          <w:lang w:eastAsia="en-IE"/>
        </w:rPr>
        <w:t>5</w:t>
      </w:r>
      <w:r w:rsidRPr="00D0202F">
        <w:rPr>
          <w:rFonts w:eastAsia="Times New Roman" w:cstheme="minorHAnsi"/>
          <w:lang w:eastAsia="en-IE"/>
        </w:rPr>
        <w:t>0,000 or with a cumulative value of €</w:t>
      </w:r>
      <w:r w:rsidR="002D019E">
        <w:rPr>
          <w:rFonts w:eastAsia="Times New Roman" w:cstheme="minorHAnsi"/>
          <w:lang w:eastAsia="en-IE"/>
        </w:rPr>
        <w:t>100</w:t>
      </w:r>
      <w:r w:rsidRPr="00D0202F">
        <w:rPr>
          <w:rFonts w:eastAsia="Times New Roman" w:cstheme="minorHAnsi"/>
          <w:lang w:eastAsia="en-IE"/>
        </w:rPr>
        <w:t>,000 over three years require Enterprise Ireland approval.</w:t>
      </w:r>
    </w:p>
    <w:p w:rsidR="00D0202F" w:rsidRDefault="00D0202F" w:rsidP="00D0202F">
      <w:pPr>
        <w:shd w:val="clear" w:color="auto" w:fill="FFFFFF"/>
        <w:spacing w:after="240" w:line="240" w:lineRule="auto"/>
        <w:textAlignment w:val="baseline"/>
        <w:rPr>
          <w:rFonts w:eastAsia="Times New Roman" w:cstheme="minorHAnsi"/>
          <w:lang w:eastAsia="en-IE"/>
        </w:rPr>
      </w:pPr>
      <w:r w:rsidRPr="00D0202F">
        <w:rPr>
          <w:rFonts w:eastAsia="Times New Roman" w:cstheme="minorHAnsi"/>
          <w:lang w:eastAsia="en-IE"/>
        </w:rPr>
        <w:t>A business that had availed of a Priming Grant will be ineligible to apply for a Business Expansion grant until 12 months after approval/drawdown date of Priming Grant whichever is the later except in cases of exceptional merit and where less than the maximum Priming Grant was drawn down, and subject to the provisions in respect of 'De Minimus state aid'. </w:t>
      </w:r>
    </w:p>
    <w:p w:rsidR="00D0202F" w:rsidRPr="004F0FD0" w:rsidRDefault="00D0202F" w:rsidP="00D0202F">
      <w:pPr>
        <w:spacing w:after="0" w:line="240" w:lineRule="auto"/>
        <w:textAlignment w:val="baseline"/>
        <w:rPr>
          <w:rFonts w:eastAsia="Times New Roman" w:cstheme="minorHAnsi"/>
          <w:lang w:eastAsia="en-IE"/>
        </w:rPr>
      </w:pPr>
      <w:r w:rsidRPr="004F0FD0">
        <w:rPr>
          <w:rFonts w:eastAsia="Times New Roman" w:cstheme="minorHAnsi"/>
          <w:b/>
          <w:bCs/>
          <w:bdr w:val="none" w:sz="0" w:space="0" w:color="auto" w:frame="1"/>
          <w:lang w:eastAsia="en-IE"/>
        </w:rPr>
        <w:t>What is ‘De Minimis’ aid?</w:t>
      </w:r>
    </w:p>
    <w:p w:rsidR="00D0202F" w:rsidRPr="004F0FD0" w:rsidRDefault="004F0FD0" w:rsidP="00D0202F">
      <w:pPr>
        <w:spacing w:after="240" w:line="240" w:lineRule="auto"/>
        <w:textAlignment w:val="baseline"/>
        <w:rPr>
          <w:rFonts w:eastAsia="Times New Roman" w:cstheme="minorHAnsi"/>
          <w:lang w:eastAsia="en-IE"/>
        </w:rPr>
      </w:pPr>
      <w:r w:rsidRPr="004F0FD0">
        <w:rPr>
          <w:rFonts w:eastAsia="Times New Roman" w:cstheme="minorHAnsi"/>
          <w:lang w:eastAsia="en-IE"/>
        </w:rPr>
        <w:t>Business</w:t>
      </w:r>
      <w:r w:rsidR="00D0202F" w:rsidRPr="004F0FD0">
        <w:rPr>
          <w:rFonts w:eastAsia="Times New Roman" w:cstheme="minorHAnsi"/>
          <w:lang w:eastAsia="en-IE"/>
        </w:rPr>
        <w:t xml:space="preserve"> Expansion grants are provided under the European Commission Regulation on ‘De Minimis’ aid. De Minimis aid is limited amounts of State aid – up to €200,000 in any three-year period to any one enterprise.</w:t>
      </w:r>
    </w:p>
    <w:p w:rsidR="00D0202F" w:rsidRPr="004F0FD0" w:rsidRDefault="00D0202F" w:rsidP="00D0202F">
      <w:pPr>
        <w:spacing w:after="240" w:line="240" w:lineRule="auto"/>
        <w:textAlignment w:val="baseline"/>
        <w:rPr>
          <w:rFonts w:eastAsia="Times New Roman" w:cstheme="minorHAnsi"/>
          <w:lang w:eastAsia="en-IE"/>
        </w:rPr>
      </w:pPr>
      <w:r w:rsidRPr="004F0FD0">
        <w:rPr>
          <w:rFonts w:eastAsia="Times New Roman" w:cstheme="minorHAnsi"/>
          <w:lang w:eastAsia="en-IE"/>
        </w:rPr>
        <w:lastRenderedPageBreak/>
        <w:t>De Minimis aid is regarded as too small to significantly affect trade or competition in the common market. The amounts of grants are regarded as falling outside the category of State aid which is banned by the EC Treaty and, therefore, they can be awarded without reference to the European Commission.</w:t>
      </w:r>
    </w:p>
    <w:p w:rsidR="00D0202F" w:rsidRPr="004F0FD0" w:rsidRDefault="00D0202F" w:rsidP="00D0202F">
      <w:pPr>
        <w:spacing w:after="240" w:line="240" w:lineRule="auto"/>
        <w:textAlignment w:val="baseline"/>
        <w:rPr>
          <w:rFonts w:eastAsia="Times New Roman" w:cstheme="minorHAnsi"/>
          <w:lang w:eastAsia="en-IE"/>
        </w:rPr>
      </w:pPr>
      <w:r w:rsidRPr="004F0FD0">
        <w:rPr>
          <w:rFonts w:eastAsia="Times New Roman" w:cstheme="minorHAnsi"/>
          <w:lang w:eastAsia="en-IE"/>
        </w:rPr>
        <w:t>However, a Member State must track De Minimis aid and make sure that combined aid payments from all sources to one enterprise in any three-year period respect the €200,000 ceiling.</w:t>
      </w:r>
    </w:p>
    <w:p w:rsidR="00D0202F" w:rsidRPr="004F0FD0" w:rsidRDefault="00D0202F" w:rsidP="00D0202F">
      <w:pPr>
        <w:spacing w:after="240" w:line="240" w:lineRule="auto"/>
        <w:textAlignment w:val="baseline"/>
        <w:rPr>
          <w:rFonts w:eastAsia="Times New Roman" w:cstheme="minorHAnsi"/>
          <w:lang w:eastAsia="en-IE"/>
        </w:rPr>
      </w:pPr>
      <w:r w:rsidRPr="004F0FD0">
        <w:rPr>
          <w:rFonts w:eastAsia="Times New Roman" w:cstheme="minorHAnsi"/>
          <w:lang w:eastAsia="en-IE"/>
        </w:rPr>
        <w:t>Therefore, you need to provide details of all other grant aid that has been awarded to you or your company within the past three years. Please note that a false declaration to show a figure under the threshold of €200,000 could later mean that you would have to pay back the grant aid with interest.</w:t>
      </w:r>
    </w:p>
    <w:p w:rsidR="00D0202F" w:rsidRPr="002D019E" w:rsidRDefault="00D0202F" w:rsidP="00D0202F">
      <w:pPr>
        <w:shd w:val="clear" w:color="auto" w:fill="FFFFFF"/>
        <w:spacing w:after="240" w:line="240" w:lineRule="auto"/>
        <w:textAlignment w:val="baseline"/>
        <w:rPr>
          <w:rFonts w:eastAsia="Times New Roman" w:cstheme="minorHAnsi"/>
          <w:b/>
          <w:lang w:eastAsia="en-IE"/>
        </w:rPr>
      </w:pPr>
      <w:r w:rsidRPr="002D019E">
        <w:rPr>
          <w:rFonts w:eastAsia="Times New Roman" w:cstheme="minorHAnsi"/>
          <w:b/>
          <w:lang w:eastAsia="en-IE"/>
        </w:rPr>
        <w:t xml:space="preserve">If you wish to apply for a Business Expansion Grant please contact us on 056 7752662 or email us at </w:t>
      </w:r>
      <w:hyperlink r:id="rId5" w:history="1">
        <w:r w:rsidRPr="002D019E">
          <w:rPr>
            <w:rStyle w:val="Hyperlink"/>
            <w:rFonts w:eastAsia="Times New Roman" w:cstheme="minorHAnsi"/>
            <w:b/>
            <w:color w:val="auto"/>
            <w:lang w:eastAsia="en-IE"/>
          </w:rPr>
          <w:t>info@leokilkennycoco.ie</w:t>
        </w:r>
      </w:hyperlink>
      <w:r w:rsidRPr="002D019E">
        <w:rPr>
          <w:rFonts w:eastAsia="Times New Roman" w:cstheme="minorHAnsi"/>
          <w:b/>
          <w:lang w:eastAsia="en-IE"/>
        </w:rPr>
        <w:t xml:space="preserve"> where our Business Advisor can discuss your </w:t>
      </w:r>
      <w:r w:rsidR="002D019E">
        <w:rPr>
          <w:rFonts w:eastAsia="Times New Roman" w:cstheme="minorHAnsi"/>
          <w:b/>
          <w:lang w:eastAsia="en-IE"/>
        </w:rPr>
        <w:t xml:space="preserve">businesses, your investment plans and how to progress an application if appropriate.  </w:t>
      </w:r>
    </w:p>
    <w:sectPr w:rsidR="00D0202F" w:rsidRPr="002D0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6D0"/>
    <w:multiLevelType w:val="multilevel"/>
    <w:tmpl w:val="1FA4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64C8"/>
    <w:multiLevelType w:val="hybridMultilevel"/>
    <w:tmpl w:val="39FCD6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5057EF"/>
    <w:multiLevelType w:val="multilevel"/>
    <w:tmpl w:val="666E0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A39E0"/>
    <w:multiLevelType w:val="multilevel"/>
    <w:tmpl w:val="2B7C7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12342"/>
    <w:multiLevelType w:val="multilevel"/>
    <w:tmpl w:val="939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F0651"/>
    <w:multiLevelType w:val="multilevel"/>
    <w:tmpl w:val="E7A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E59CF"/>
    <w:multiLevelType w:val="multilevel"/>
    <w:tmpl w:val="20B4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C1CC6"/>
    <w:multiLevelType w:val="multilevel"/>
    <w:tmpl w:val="0D20F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226F0"/>
    <w:multiLevelType w:val="multilevel"/>
    <w:tmpl w:val="EE306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3717A"/>
    <w:multiLevelType w:val="multilevel"/>
    <w:tmpl w:val="6E86A4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B408B"/>
    <w:multiLevelType w:val="multilevel"/>
    <w:tmpl w:val="88046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163C4"/>
    <w:multiLevelType w:val="multilevel"/>
    <w:tmpl w:val="4648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F4BCE"/>
    <w:multiLevelType w:val="multilevel"/>
    <w:tmpl w:val="CE58A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26414"/>
    <w:multiLevelType w:val="multilevel"/>
    <w:tmpl w:val="5B22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6"/>
  </w:num>
  <w:num w:numId="4">
    <w:abstractNumId w:val="8"/>
  </w:num>
  <w:num w:numId="5">
    <w:abstractNumId w:val="7"/>
  </w:num>
  <w:num w:numId="6">
    <w:abstractNumId w:val="10"/>
  </w:num>
  <w:num w:numId="7">
    <w:abstractNumId w:val="12"/>
  </w:num>
  <w:num w:numId="8">
    <w:abstractNumId w:val="9"/>
  </w:num>
  <w:num w:numId="9">
    <w:abstractNumId w:val="1"/>
  </w:num>
  <w:num w:numId="10">
    <w:abstractNumId w:val="11"/>
  </w:num>
  <w:num w:numId="11">
    <w:abstractNumId w:val="2"/>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2F"/>
    <w:rsid w:val="002D019E"/>
    <w:rsid w:val="004F0FD0"/>
    <w:rsid w:val="00526C1E"/>
    <w:rsid w:val="006D6C5D"/>
    <w:rsid w:val="009772A3"/>
    <w:rsid w:val="00A75FB8"/>
    <w:rsid w:val="00B73CFC"/>
    <w:rsid w:val="00BA508B"/>
    <w:rsid w:val="00D020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15E3-2424-4A1F-B7FD-1781E4C0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02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0202F"/>
    <w:rPr>
      <w:color w:val="0563C1" w:themeColor="hyperlink"/>
      <w:u w:val="single"/>
    </w:rPr>
  </w:style>
  <w:style w:type="character" w:styleId="UnresolvedMention">
    <w:name w:val="Unresolved Mention"/>
    <w:basedOn w:val="DefaultParagraphFont"/>
    <w:uiPriority w:val="99"/>
    <w:semiHidden/>
    <w:unhideWhenUsed/>
    <w:rsid w:val="00D0202F"/>
    <w:rPr>
      <w:color w:val="605E5C"/>
      <w:shd w:val="clear" w:color="auto" w:fill="E1DFDD"/>
    </w:rPr>
  </w:style>
  <w:style w:type="paragraph" w:styleId="ListParagraph">
    <w:name w:val="List Paragraph"/>
    <w:basedOn w:val="Normal"/>
    <w:uiPriority w:val="34"/>
    <w:qFormat/>
    <w:rsid w:val="0052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8521">
      <w:bodyDiv w:val="1"/>
      <w:marLeft w:val="0"/>
      <w:marRight w:val="0"/>
      <w:marTop w:val="0"/>
      <w:marBottom w:val="0"/>
      <w:divBdr>
        <w:top w:val="none" w:sz="0" w:space="0" w:color="auto"/>
        <w:left w:val="none" w:sz="0" w:space="0" w:color="auto"/>
        <w:bottom w:val="none" w:sz="0" w:space="0" w:color="auto"/>
        <w:right w:val="none" w:sz="0" w:space="0" w:color="auto"/>
      </w:divBdr>
    </w:div>
    <w:div w:id="360667390">
      <w:bodyDiv w:val="1"/>
      <w:marLeft w:val="0"/>
      <w:marRight w:val="0"/>
      <w:marTop w:val="0"/>
      <w:marBottom w:val="0"/>
      <w:divBdr>
        <w:top w:val="none" w:sz="0" w:space="0" w:color="auto"/>
        <w:left w:val="none" w:sz="0" w:space="0" w:color="auto"/>
        <w:bottom w:val="none" w:sz="0" w:space="0" w:color="auto"/>
        <w:right w:val="none" w:sz="0" w:space="0" w:color="auto"/>
      </w:divBdr>
    </w:div>
    <w:div w:id="501505084">
      <w:bodyDiv w:val="1"/>
      <w:marLeft w:val="0"/>
      <w:marRight w:val="0"/>
      <w:marTop w:val="0"/>
      <w:marBottom w:val="0"/>
      <w:divBdr>
        <w:top w:val="none" w:sz="0" w:space="0" w:color="auto"/>
        <w:left w:val="none" w:sz="0" w:space="0" w:color="auto"/>
        <w:bottom w:val="none" w:sz="0" w:space="0" w:color="auto"/>
        <w:right w:val="none" w:sz="0" w:space="0" w:color="auto"/>
      </w:divBdr>
    </w:div>
    <w:div w:id="772868949">
      <w:bodyDiv w:val="1"/>
      <w:marLeft w:val="0"/>
      <w:marRight w:val="0"/>
      <w:marTop w:val="0"/>
      <w:marBottom w:val="0"/>
      <w:divBdr>
        <w:top w:val="none" w:sz="0" w:space="0" w:color="auto"/>
        <w:left w:val="none" w:sz="0" w:space="0" w:color="auto"/>
        <w:bottom w:val="none" w:sz="0" w:space="0" w:color="auto"/>
        <w:right w:val="none" w:sz="0" w:space="0" w:color="auto"/>
      </w:divBdr>
    </w:div>
    <w:div w:id="1020011865">
      <w:bodyDiv w:val="1"/>
      <w:marLeft w:val="0"/>
      <w:marRight w:val="0"/>
      <w:marTop w:val="0"/>
      <w:marBottom w:val="0"/>
      <w:divBdr>
        <w:top w:val="none" w:sz="0" w:space="0" w:color="auto"/>
        <w:left w:val="none" w:sz="0" w:space="0" w:color="auto"/>
        <w:bottom w:val="none" w:sz="0" w:space="0" w:color="auto"/>
        <w:right w:val="none" w:sz="0" w:space="0" w:color="auto"/>
      </w:divBdr>
    </w:div>
    <w:div w:id="1083912728">
      <w:bodyDiv w:val="1"/>
      <w:marLeft w:val="0"/>
      <w:marRight w:val="0"/>
      <w:marTop w:val="0"/>
      <w:marBottom w:val="0"/>
      <w:divBdr>
        <w:top w:val="none" w:sz="0" w:space="0" w:color="auto"/>
        <w:left w:val="none" w:sz="0" w:space="0" w:color="auto"/>
        <w:bottom w:val="none" w:sz="0" w:space="0" w:color="auto"/>
        <w:right w:val="none" w:sz="0" w:space="0" w:color="auto"/>
      </w:divBdr>
    </w:div>
    <w:div w:id="1569880129">
      <w:bodyDiv w:val="1"/>
      <w:marLeft w:val="0"/>
      <w:marRight w:val="0"/>
      <w:marTop w:val="0"/>
      <w:marBottom w:val="0"/>
      <w:divBdr>
        <w:top w:val="none" w:sz="0" w:space="0" w:color="auto"/>
        <w:left w:val="none" w:sz="0" w:space="0" w:color="auto"/>
        <w:bottom w:val="none" w:sz="0" w:space="0" w:color="auto"/>
        <w:right w:val="none" w:sz="0" w:space="0" w:color="auto"/>
      </w:divBdr>
    </w:div>
    <w:div w:id="1684551730">
      <w:bodyDiv w:val="1"/>
      <w:marLeft w:val="0"/>
      <w:marRight w:val="0"/>
      <w:marTop w:val="0"/>
      <w:marBottom w:val="0"/>
      <w:divBdr>
        <w:top w:val="none" w:sz="0" w:space="0" w:color="auto"/>
        <w:left w:val="none" w:sz="0" w:space="0" w:color="auto"/>
        <w:bottom w:val="none" w:sz="0" w:space="0" w:color="auto"/>
        <w:right w:val="none" w:sz="0" w:space="0" w:color="auto"/>
      </w:divBdr>
    </w:div>
    <w:div w:id="18137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eokilkenny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Whitty</dc:creator>
  <cp:keywords/>
  <dc:description/>
  <cp:lastModifiedBy>Grace Quinn</cp:lastModifiedBy>
  <cp:revision>2</cp:revision>
  <dcterms:created xsi:type="dcterms:W3CDTF">2021-03-31T11:34:00Z</dcterms:created>
  <dcterms:modified xsi:type="dcterms:W3CDTF">2021-03-31T11:34:00Z</dcterms:modified>
</cp:coreProperties>
</file>